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1B30B7" w14:textId="68D12AE8"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777D8B">
        <w:rPr>
          <w:rFonts w:ascii="Arial" w:eastAsiaTheme="minorEastAsia" w:hAnsi="Arial" w:cs="Arial"/>
          <w:b/>
          <w:sz w:val="24"/>
          <w:szCs w:val="24"/>
          <w:lang w:eastAsia="zh-CN"/>
        </w:rPr>
        <w:t>112</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036E72">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CC3582">
        <w:rPr>
          <w:rFonts w:ascii="Arial" w:eastAsiaTheme="minorEastAsia" w:hAnsi="Arial" w:cs="Arial"/>
          <w:b/>
          <w:sz w:val="24"/>
          <w:szCs w:val="24"/>
          <w:lang w:eastAsia="zh-CN"/>
        </w:rPr>
        <w:t>4</w:t>
      </w:r>
      <w:r w:rsidR="00777D8B">
        <w:rPr>
          <w:rFonts w:ascii="Arial" w:eastAsiaTheme="minorEastAsia" w:hAnsi="Arial" w:cs="Arial"/>
          <w:b/>
          <w:sz w:val="24"/>
          <w:szCs w:val="24"/>
          <w:lang w:eastAsia="zh-CN"/>
        </w:rPr>
        <w:t>1</w:t>
      </w:r>
      <w:r w:rsidR="00036E72">
        <w:rPr>
          <w:rFonts w:ascii="Arial" w:eastAsiaTheme="minorEastAsia" w:hAnsi="Arial" w:cs="Arial"/>
          <w:b/>
          <w:sz w:val="24"/>
          <w:szCs w:val="24"/>
          <w:lang w:eastAsia="zh-CN"/>
        </w:rPr>
        <w:t>1114</w:t>
      </w:r>
    </w:p>
    <w:p w14:paraId="2735E67F" w14:textId="05643664" w:rsidR="003A2B9E" w:rsidRPr="003A2B9E" w:rsidRDefault="00CC3582" w:rsidP="003A2B9E">
      <w:pPr>
        <w:spacing w:after="120"/>
        <w:ind w:left="1985" w:hanging="1985"/>
        <w:rPr>
          <w:rFonts w:ascii="Arial" w:eastAsiaTheme="minorEastAsia" w:hAnsi="Arial" w:cs="Arial"/>
          <w:b/>
          <w:sz w:val="24"/>
          <w:szCs w:val="24"/>
          <w:lang w:val="en-US" w:eastAsia="zh-CN"/>
        </w:rPr>
      </w:pPr>
      <w:r>
        <w:rPr>
          <w:rFonts w:ascii="Arial" w:hAnsi="Arial"/>
          <w:b/>
          <w:sz w:val="24"/>
          <w:szCs w:val="24"/>
          <w:lang w:eastAsia="zh-CN"/>
        </w:rPr>
        <w:t>M</w:t>
      </w:r>
      <w:r w:rsidR="00777D8B">
        <w:rPr>
          <w:rFonts w:ascii="Arial" w:hAnsi="Arial"/>
          <w:b/>
          <w:sz w:val="24"/>
          <w:szCs w:val="24"/>
          <w:lang w:eastAsia="zh-CN"/>
        </w:rPr>
        <w:t>aastricht, Netherland</w:t>
      </w:r>
      <w:r>
        <w:rPr>
          <w:rFonts w:ascii="Arial" w:hAnsi="Arial"/>
          <w:b/>
          <w:sz w:val="24"/>
          <w:szCs w:val="24"/>
          <w:lang w:eastAsia="zh-CN"/>
        </w:rPr>
        <w:t xml:space="preserve">, </w:t>
      </w:r>
      <w:r w:rsidR="00777D8B">
        <w:rPr>
          <w:rFonts w:ascii="Arial" w:hAnsi="Arial"/>
          <w:b/>
          <w:sz w:val="24"/>
          <w:szCs w:val="24"/>
          <w:lang w:eastAsia="zh-CN"/>
        </w:rPr>
        <w:t>August 19</w:t>
      </w:r>
      <w:r w:rsidR="00777D8B" w:rsidRPr="00777D8B">
        <w:rPr>
          <w:rFonts w:ascii="Arial" w:hAnsi="Arial"/>
          <w:b/>
          <w:sz w:val="24"/>
          <w:szCs w:val="24"/>
          <w:vertAlign w:val="superscript"/>
          <w:lang w:eastAsia="zh-CN"/>
        </w:rPr>
        <w:t>th</w:t>
      </w:r>
      <w:r w:rsidR="00777D8B">
        <w:rPr>
          <w:rFonts w:ascii="Arial" w:hAnsi="Arial"/>
          <w:b/>
          <w:sz w:val="24"/>
          <w:szCs w:val="24"/>
          <w:lang w:eastAsia="zh-CN"/>
        </w:rPr>
        <w:t xml:space="preserve"> </w:t>
      </w:r>
      <w:r w:rsidRPr="00EF3FF4">
        <w:rPr>
          <w:rFonts w:ascii="Arial" w:hAnsi="Arial"/>
          <w:b/>
          <w:sz w:val="24"/>
          <w:szCs w:val="24"/>
          <w:lang w:eastAsia="zh-CN"/>
        </w:rPr>
        <w:t>‒</w:t>
      </w:r>
      <w:r>
        <w:rPr>
          <w:rFonts w:ascii="Arial" w:hAnsi="Arial"/>
          <w:b/>
          <w:sz w:val="24"/>
          <w:szCs w:val="24"/>
          <w:lang w:eastAsia="zh-CN"/>
        </w:rPr>
        <w:t xml:space="preserve"> </w:t>
      </w:r>
      <w:r w:rsidR="00777D8B">
        <w:rPr>
          <w:rFonts w:ascii="Arial" w:hAnsi="Arial"/>
          <w:b/>
          <w:sz w:val="24"/>
          <w:szCs w:val="24"/>
          <w:lang w:eastAsia="zh-CN"/>
        </w:rPr>
        <w:t>23</w:t>
      </w:r>
      <w:r w:rsidR="00777D8B" w:rsidRPr="00777D8B">
        <w:rPr>
          <w:rFonts w:ascii="Arial" w:hAnsi="Arial"/>
          <w:b/>
          <w:sz w:val="24"/>
          <w:szCs w:val="24"/>
          <w:vertAlign w:val="superscript"/>
          <w:lang w:eastAsia="zh-CN"/>
        </w:rPr>
        <w:t>rd</w:t>
      </w:r>
      <w:r w:rsidR="00777D8B">
        <w:rPr>
          <w:rFonts w:ascii="Arial" w:hAnsi="Arial"/>
          <w:b/>
          <w:sz w:val="24"/>
          <w:szCs w:val="24"/>
          <w:lang w:eastAsia="zh-CN"/>
        </w:rPr>
        <w:t>,</w:t>
      </w:r>
      <w:r w:rsidRPr="00EF3FF4">
        <w:rPr>
          <w:rFonts w:ascii="Arial" w:hAnsi="Arial"/>
          <w:b/>
          <w:sz w:val="24"/>
          <w:szCs w:val="24"/>
          <w:lang w:eastAsia="zh-CN"/>
        </w:rPr>
        <w:t xml:space="preserve"> 202</w:t>
      </w:r>
      <w:r>
        <w:rPr>
          <w:rFonts w:ascii="Arial" w:hAnsi="Arial"/>
          <w:b/>
          <w:sz w:val="24"/>
          <w:szCs w:val="24"/>
          <w:lang w:eastAsia="zh-CN"/>
        </w:rPr>
        <w:t>4</w:t>
      </w:r>
    </w:p>
    <w:p w14:paraId="2637FD31" w14:textId="77777777" w:rsidR="001E0A28" w:rsidRDefault="001E0A28" w:rsidP="001E0A28">
      <w:pPr>
        <w:spacing w:after="120"/>
        <w:ind w:left="1985" w:hanging="1985"/>
        <w:rPr>
          <w:rFonts w:ascii="Arial" w:eastAsia="MS Mincho" w:hAnsi="Arial" w:cs="Arial"/>
          <w:b/>
          <w:sz w:val="22"/>
        </w:rPr>
      </w:pPr>
    </w:p>
    <w:p w14:paraId="282755FA" w14:textId="45E6AC20" w:rsidR="00C24D2F" w:rsidRPr="00DD0E71"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D0E71">
        <w:rPr>
          <w:rFonts w:ascii="Arial" w:eastAsiaTheme="minorEastAsia" w:hAnsi="Arial" w:cs="Arial"/>
          <w:b/>
          <w:bCs/>
          <w:color w:val="000000"/>
          <w:sz w:val="22"/>
          <w:lang w:val="pt-BR" w:eastAsia="zh-CN"/>
        </w:rPr>
        <w:t>8.6.3</w:t>
      </w:r>
    </w:p>
    <w:p w14:paraId="50D5329D" w14:textId="7A36460D"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8B7229" w:rsidRPr="00282BCE">
        <w:rPr>
          <w:rFonts w:ascii="Arial" w:hAnsi="Arial" w:cs="Arial"/>
          <w:b/>
          <w:bCs/>
          <w:color w:val="000000"/>
          <w:sz w:val="22"/>
          <w:lang w:eastAsia="zh-CN"/>
        </w:rPr>
        <w:t>CATT</w:t>
      </w:r>
    </w:p>
    <w:p w14:paraId="1E0389E7" w14:textId="4CD5706B" w:rsidR="00915D73" w:rsidRPr="00282BCE" w:rsidRDefault="00915D73" w:rsidP="00915D73">
      <w:pPr>
        <w:spacing w:after="120"/>
        <w:ind w:left="1985" w:hanging="1985"/>
        <w:rPr>
          <w:rFonts w:ascii="Arial" w:eastAsiaTheme="minorEastAsia" w:hAnsi="Arial" w:cs="Arial"/>
          <w:b/>
          <w:bCs/>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DD0E71" w:rsidRPr="00DD0E71">
        <w:rPr>
          <w:rFonts w:ascii="Arial" w:eastAsia="MS Mincho" w:hAnsi="Arial" w:cs="Arial"/>
          <w:b/>
          <w:color w:val="000000"/>
          <w:sz w:val="22"/>
        </w:rPr>
        <w:t>Discussion on impacts on UE RF requirements and DL performance for fragmented carriers</w:t>
      </w:r>
    </w:p>
    <w:p w14:paraId="67B0962B" w14:textId="1ED559B2"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8B7229" w:rsidRPr="00282BCE">
        <w:rPr>
          <w:rFonts w:ascii="Arial" w:eastAsiaTheme="minorEastAsia" w:hAnsi="Arial" w:cs="Arial"/>
          <w:b/>
          <w:bCs/>
          <w:color w:val="000000"/>
          <w:sz w:val="22"/>
          <w:lang w:eastAsia="zh-CN"/>
        </w:rPr>
        <w:t>Discussion</w:t>
      </w:r>
    </w:p>
    <w:p w14:paraId="4A0AE149" w14:textId="4268E307" w:rsidR="005D7AF8" w:rsidRDefault="00915D73" w:rsidP="008B7229">
      <w:pPr>
        <w:pStyle w:val="Heading1"/>
        <w:rPr>
          <w:lang w:eastAsia="ja-JP"/>
        </w:rPr>
      </w:pPr>
      <w:r w:rsidRPr="005D7AF8">
        <w:rPr>
          <w:rFonts w:hint="eastAsia"/>
          <w:lang w:eastAsia="ja-JP"/>
        </w:rPr>
        <w:t>Introduction</w:t>
      </w:r>
    </w:p>
    <w:p w14:paraId="1A286333" w14:textId="7EEBD203" w:rsidR="00484C5D" w:rsidRDefault="007264D7" w:rsidP="00642BC6">
      <w:pPr>
        <w:rPr>
          <w:lang w:val="sv-SE" w:eastAsia="ja-JP"/>
        </w:rPr>
      </w:pPr>
      <w:r>
        <w:rPr>
          <w:lang w:val="sv-SE" w:eastAsia="ja-JP"/>
        </w:rPr>
        <w:t>In RANP#104, a study item on fragmented carriers was approved with the following objectives [1]:</w:t>
      </w:r>
    </w:p>
    <w:tbl>
      <w:tblPr>
        <w:tblStyle w:val="TableGrid"/>
        <w:tblW w:w="0" w:type="auto"/>
        <w:tblLook w:val="04A0" w:firstRow="1" w:lastRow="0" w:firstColumn="1" w:lastColumn="0" w:noHBand="0" w:noVBand="1"/>
      </w:tblPr>
      <w:tblGrid>
        <w:gridCol w:w="9631"/>
      </w:tblGrid>
      <w:tr w:rsidR="007264D7" w:rsidRPr="00B50FDD" w14:paraId="32560379" w14:textId="77777777" w:rsidTr="007264D7">
        <w:tc>
          <w:tcPr>
            <w:tcW w:w="9631" w:type="dxa"/>
          </w:tcPr>
          <w:p w14:paraId="032BB242" w14:textId="3F7496FE" w:rsidR="00B50FDD" w:rsidRPr="00B50FDD" w:rsidRDefault="00B50FDD" w:rsidP="00B50FDD">
            <w:pPr>
              <w:pStyle w:val="ListParagraph"/>
              <w:numPr>
                <w:ilvl w:val="0"/>
                <w:numId w:val="28"/>
              </w:numPr>
              <w:ind w:firstLineChars="0"/>
              <w:rPr>
                <w:rFonts w:eastAsiaTheme="minorEastAsia"/>
                <w:i/>
                <w:iCs/>
                <w:sz w:val="18"/>
                <w:szCs w:val="18"/>
                <w:lang w:eastAsia="en-GB"/>
              </w:rPr>
            </w:pPr>
            <w:bookmarkStart w:id="0" w:name="OLE_LINK3"/>
            <w:r w:rsidRPr="00B50FDD">
              <w:rPr>
                <w:rFonts w:eastAsiaTheme="minorEastAsia" w:hint="eastAsia"/>
                <w:i/>
                <w:iCs/>
                <w:sz w:val="18"/>
                <w:szCs w:val="18"/>
                <w:lang w:eastAsia="en-GB"/>
              </w:rPr>
              <w:t xml:space="preserve">Identify methods for </w:t>
            </w:r>
            <w:bookmarkStart w:id="1" w:name="OLE_LINK4"/>
            <w:r w:rsidRPr="00B50FDD">
              <w:rPr>
                <w:rFonts w:eastAsiaTheme="minorEastAsia" w:hint="eastAsia"/>
                <w:i/>
                <w:iCs/>
                <w:sz w:val="18"/>
                <w:szCs w:val="18"/>
                <w:lang w:eastAsia="en-GB"/>
              </w:rPr>
              <w:t>reducing</w:t>
            </w:r>
            <w:r w:rsidRPr="00B50FDD">
              <w:rPr>
                <w:rFonts w:eastAsiaTheme="minorEastAsia"/>
                <w:i/>
                <w:iCs/>
                <w:sz w:val="18"/>
                <w:szCs w:val="18"/>
                <w:lang w:eastAsia="en-GB"/>
              </w:rPr>
              <w:t xml:space="preserve"> the</w:t>
            </w:r>
            <w:r w:rsidRPr="00B50FDD">
              <w:rPr>
                <w:rFonts w:eastAsiaTheme="minorEastAsia" w:hint="eastAsia"/>
                <w:i/>
                <w:iCs/>
                <w:sz w:val="18"/>
                <w:szCs w:val="18"/>
                <w:lang w:eastAsia="en-GB"/>
              </w:rPr>
              <w:t xml:space="preserve"> number of UE Rx chains</w:t>
            </w:r>
            <w:bookmarkEnd w:id="1"/>
            <w:r w:rsidRPr="00B50FDD">
              <w:rPr>
                <w:rFonts w:eastAsiaTheme="minorEastAsia" w:hint="eastAsia"/>
                <w:i/>
                <w:iCs/>
                <w:sz w:val="18"/>
                <w:szCs w:val="18"/>
                <w:lang w:eastAsia="en-GB"/>
              </w:rPr>
              <w:t xml:space="preserve"> (e.g. </w:t>
            </w:r>
            <w:r w:rsidRPr="00B50FDD">
              <w:rPr>
                <w:rFonts w:eastAsiaTheme="minorEastAsia"/>
                <w:i/>
                <w:iCs/>
                <w:sz w:val="18"/>
                <w:szCs w:val="18"/>
                <w:lang w:eastAsia="en-GB"/>
              </w:rPr>
              <w:t xml:space="preserve">from separate RF chains per CC to shared RF chains </w:t>
            </w:r>
            <w:r w:rsidRPr="00B50FDD">
              <w:rPr>
                <w:rFonts w:eastAsiaTheme="minorEastAsia" w:hint="eastAsia"/>
                <w:i/>
                <w:iCs/>
                <w:sz w:val="18"/>
                <w:szCs w:val="18"/>
                <w:lang w:eastAsia="en-GB"/>
              </w:rPr>
              <w:t xml:space="preserve">) needed for single DL band </w:t>
            </w:r>
            <w:r w:rsidRPr="00B50FDD">
              <w:rPr>
                <w:rFonts w:eastAsiaTheme="minorEastAsia"/>
                <w:i/>
                <w:iCs/>
                <w:sz w:val="18"/>
                <w:szCs w:val="18"/>
                <w:lang w:eastAsia="en-GB"/>
              </w:rPr>
              <w:t>with frequency span</w:t>
            </w:r>
            <w:r w:rsidRPr="00B50FDD">
              <w:rPr>
                <w:rFonts w:eastAsiaTheme="minorEastAsia" w:hint="eastAsia"/>
                <w:i/>
                <w:iCs/>
                <w:sz w:val="18"/>
                <w:szCs w:val="18"/>
                <w:lang w:eastAsia="en-GB"/>
              </w:rPr>
              <w:t xml:space="preserve"> </w:t>
            </w:r>
            <w:r w:rsidRPr="00B50FDD">
              <w:rPr>
                <w:rFonts w:eastAsiaTheme="minorEastAsia" w:hint="eastAsia"/>
                <w:i/>
                <w:iCs/>
                <w:sz w:val="18"/>
                <w:szCs w:val="18"/>
                <w:lang w:eastAsia="en-GB"/>
              </w:rPr>
              <w:t>≤</w:t>
            </w:r>
            <w:r w:rsidRPr="00B50FDD">
              <w:rPr>
                <w:rFonts w:eastAsiaTheme="minorEastAsia" w:hint="eastAsia"/>
                <w:i/>
                <w:iCs/>
                <w:sz w:val="18"/>
                <w:szCs w:val="18"/>
                <w:lang w:eastAsia="en-GB"/>
              </w:rPr>
              <w:t xml:space="preserve"> 100 MHz</w:t>
            </w:r>
            <w:r w:rsidRPr="00B50FDD">
              <w:rPr>
                <w:rFonts w:eastAsiaTheme="minorEastAsia"/>
                <w:i/>
                <w:iCs/>
                <w:sz w:val="18"/>
                <w:szCs w:val="18"/>
                <w:lang w:eastAsia="en-GB"/>
              </w:rPr>
              <w:t>,</w:t>
            </w:r>
            <w:r w:rsidRPr="00B50FDD">
              <w:rPr>
                <w:rFonts w:eastAsiaTheme="minorEastAsia" w:hint="eastAsia"/>
                <w:i/>
                <w:iCs/>
                <w:sz w:val="18"/>
                <w:szCs w:val="18"/>
                <w:lang w:eastAsia="en-GB"/>
              </w:rPr>
              <w:t xml:space="preserve"> containing two non-contiguous CCs within a CA combination for the inter-operator co-located scenario, considering: </w:t>
            </w:r>
            <w:bookmarkEnd w:id="0"/>
          </w:p>
          <w:p w14:paraId="3E623996" w14:textId="77777777" w:rsidR="00B50FDD" w:rsidRPr="00B50FDD" w:rsidRDefault="00B50FDD" w:rsidP="00B50FDD">
            <w:pPr>
              <w:ind w:left="851" w:hanging="284"/>
              <w:rPr>
                <w:rFonts w:eastAsiaTheme="minorEastAsia"/>
                <w:i/>
                <w:iCs/>
                <w:sz w:val="18"/>
                <w:szCs w:val="18"/>
                <w:lang w:eastAsia="en-GB"/>
              </w:rPr>
            </w:pPr>
            <w:bookmarkStart w:id="2" w:name="OLE_LINK13"/>
            <w:r w:rsidRPr="00B50FDD">
              <w:rPr>
                <w:rFonts w:eastAsiaTheme="minorEastAsia"/>
                <w:i/>
                <w:iCs/>
                <w:sz w:val="18"/>
                <w:szCs w:val="18"/>
                <w:lang w:eastAsia="en-GB"/>
              </w:rPr>
              <w:t>-</w:t>
            </w:r>
            <w:r w:rsidRPr="00B50FDD">
              <w:rPr>
                <w:rFonts w:eastAsiaTheme="minorEastAsia"/>
                <w:i/>
                <w:iCs/>
                <w:sz w:val="18"/>
                <w:szCs w:val="18"/>
                <w:lang w:eastAsia="en-GB"/>
              </w:rPr>
              <w:tab/>
              <w:t xml:space="preserve">Which RF requirements could be adjusted for the inter-operator co-located BS scenario, e.g. existing UE RF requirements such as </w:t>
            </w:r>
            <w:r w:rsidRPr="00B50FDD">
              <w:rPr>
                <w:rFonts w:eastAsiaTheme="minorEastAsia" w:cs="Arial"/>
                <w:i/>
                <w:iCs/>
                <w:sz w:val="18"/>
                <w:szCs w:val="18"/>
                <w:lang w:eastAsia="en-GB"/>
              </w:rPr>
              <w:t>ΔR</w:t>
            </w:r>
            <w:r w:rsidRPr="00B50FDD">
              <w:rPr>
                <w:rFonts w:eastAsiaTheme="minorEastAsia" w:cs="Arial"/>
                <w:i/>
                <w:iCs/>
                <w:sz w:val="18"/>
                <w:szCs w:val="18"/>
                <w:vertAlign w:val="subscript"/>
                <w:lang w:eastAsia="en-GB"/>
              </w:rPr>
              <w:t>IBNC</w:t>
            </w:r>
            <w:r w:rsidRPr="00B50FDD">
              <w:rPr>
                <w:rFonts w:eastAsiaTheme="minorEastAsia"/>
                <w:i/>
                <w:iCs/>
                <w:sz w:val="18"/>
                <w:szCs w:val="18"/>
                <w:lang w:eastAsia="zh-CN"/>
              </w:rPr>
              <w:t xml:space="preserve">, </w:t>
            </w:r>
            <w:r w:rsidRPr="00B50FDD">
              <w:rPr>
                <w:rFonts w:eastAsiaTheme="minorEastAsia"/>
                <w:i/>
                <w:iCs/>
                <w:sz w:val="18"/>
                <w:szCs w:val="18"/>
                <w:lang w:eastAsia="en-GB"/>
              </w:rPr>
              <w:t xml:space="preserve">ACS </w:t>
            </w:r>
            <w:r w:rsidRPr="00B50FDD">
              <w:rPr>
                <w:rFonts w:eastAsiaTheme="minorEastAsia"/>
                <w:i/>
                <w:iCs/>
                <w:sz w:val="18"/>
                <w:szCs w:val="18"/>
                <w:lang w:eastAsia="zh-CN"/>
              </w:rPr>
              <w:t>and in-band blocking</w:t>
            </w:r>
            <w:r w:rsidRPr="00B50FDD">
              <w:rPr>
                <w:rFonts w:eastAsiaTheme="minorEastAsia"/>
                <w:i/>
                <w:iCs/>
                <w:sz w:val="18"/>
                <w:szCs w:val="18"/>
                <w:lang w:eastAsia="en-GB"/>
              </w:rPr>
              <w:t xml:space="preserve"> [RAN4];</w:t>
            </w:r>
          </w:p>
          <w:p w14:paraId="5947FE65" w14:textId="77777777" w:rsidR="00B50FDD" w:rsidRPr="00B50FDD" w:rsidRDefault="00B50FDD" w:rsidP="00B50FDD">
            <w:pPr>
              <w:numPr>
                <w:ilvl w:val="0"/>
                <w:numId w:val="26"/>
              </w:numPr>
              <w:rPr>
                <w:rFonts w:eastAsiaTheme="minorEastAsia"/>
                <w:i/>
                <w:iCs/>
                <w:sz w:val="18"/>
                <w:szCs w:val="18"/>
                <w:lang w:eastAsia="en-GB"/>
              </w:rPr>
            </w:pPr>
            <w:r w:rsidRPr="00B50FDD">
              <w:rPr>
                <w:rFonts w:eastAsiaTheme="minorEastAsia"/>
                <w:i/>
                <w:iCs/>
                <w:sz w:val="18"/>
                <w:szCs w:val="18"/>
                <w:lang w:eastAsia="en-GB"/>
              </w:rPr>
              <w:t>Other requirements are not precluded, if identified</w:t>
            </w:r>
          </w:p>
          <w:p w14:paraId="39F73D70" w14:textId="77777777" w:rsidR="00B50FDD" w:rsidRPr="00B50FDD" w:rsidRDefault="00B50FDD" w:rsidP="00B50FDD">
            <w:pPr>
              <w:ind w:left="851" w:hanging="284"/>
              <w:rPr>
                <w:rFonts w:eastAsiaTheme="minorEastAsia"/>
                <w:i/>
                <w:iCs/>
                <w:sz w:val="18"/>
                <w:szCs w:val="18"/>
                <w:lang w:eastAsia="en-GB"/>
              </w:rPr>
            </w:pPr>
            <w:bookmarkStart w:id="3" w:name="OLE_LINK14"/>
            <w:bookmarkEnd w:id="2"/>
            <w:r w:rsidRPr="00B50FDD">
              <w:rPr>
                <w:rFonts w:eastAsiaTheme="minorEastAsia"/>
                <w:i/>
                <w:iCs/>
                <w:sz w:val="18"/>
                <w:szCs w:val="18"/>
                <w:lang w:eastAsia="en-GB"/>
              </w:rPr>
              <w:t>-</w:t>
            </w:r>
            <w:r w:rsidRPr="00B50FDD">
              <w:rPr>
                <w:rFonts w:eastAsiaTheme="minorEastAsia"/>
                <w:i/>
                <w:iCs/>
                <w:sz w:val="18"/>
                <w:szCs w:val="18"/>
                <w:lang w:eastAsia="en-GB"/>
              </w:rPr>
              <w:tab/>
              <w:t>The ability to semi-statically switch hardware resources (i.e. Rx chains) [RAN4, RAN2 – See note 2];</w:t>
            </w:r>
          </w:p>
          <w:p w14:paraId="5CFCB5DF" w14:textId="77777777" w:rsidR="00B50FDD" w:rsidRPr="00B50FDD" w:rsidRDefault="00B50FDD" w:rsidP="00B50FDD">
            <w:pPr>
              <w:ind w:left="851" w:hanging="284"/>
              <w:rPr>
                <w:rFonts w:eastAsiaTheme="minorEastAsia"/>
                <w:i/>
                <w:iCs/>
                <w:sz w:val="18"/>
                <w:szCs w:val="18"/>
                <w:lang w:eastAsia="en-GB"/>
              </w:rPr>
            </w:pPr>
            <w:bookmarkStart w:id="4" w:name="OLE_LINK12"/>
            <w:bookmarkStart w:id="5" w:name="OLE_LINK15"/>
            <w:bookmarkEnd w:id="3"/>
            <w:r w:rsidRPr="00B50FDD">
              <w:rPr>
                <w:rFonts w:eastAsiaTheme="minorEastAsia"/>
                <w:i/>
                <w:iCs/>
                <w:sz w:val="18"/>
                <w:szCs w:val="18"/>
                <w:lang w:eastAsia="en-GB"/>
              </w:rPr>
              <w:t>-</w:t>
            </w:r>
            <w:r w:rsidRPr="00B50FDD">
              <w:rPr>
                <w:rFonts w:eastAsiaTheme="minorEastAsia"/>
                <w:i/>
                <w:iCs/>
                <w:sz w:val="18"/>
                <w:szCs w:val="18"/>
                <w:lang w:eastAsia="en-GB"/>
              </w:rPr>
              <w:tab/>
            </w:r>
            <w:bookmarkEnd w:id="4"/>
            <w:r w:rsidRPr="00B50FDD">
              <w:rPr>
                <w:rFonts w:eastAsiaTheme="minorEastAsia"/>
                <w:i/>
                <w:iCs/>
                <w:sz w:val="18"/>
                <w:szCs w:val="18"/>
                <w:lang w:eastAsia="en-GB"/>
              </w:rPr>
              <w:t xml:space="preserve">Up to 6 dB DL </w:t>
            </w:r>
            <w:bookmarkStart w:id="6" w:name="OLE_LINK9"/>
            <w:r w:rsidRPr="00B50FDD">
              <w:rPr>
                <w:rFonts w:eastAsiaTheme="minorEastAsia"/>
                <w:i/>
                <w:iCs/>
                <w:sz w:val="18"/>
                <w:szCs w:val="18"/>
                <w:lang w:eastAsia="en-GB"/>
              </w:rPr>
              <w:t xml:space="preserve">received power </w:t>
            </w:r>
            <w:r w:rsidRPr="00B50FDD">
              <w:rPr>
                <w:rFonts w:eastAsia="PMingLiU" w:hint="eastAsia"/>
                <w:i/>
                <w:iCs/>
                <w:sz w:val="18"/>
                <w:szCs w:val="18"/>
                <w:lang w:eastAsia="zh-TW"/>
              </w:rPr>
              <w:t>s</w:t>
            </w:r>
            <w:r w:rsidRPr="00B50FDD">
              <w:rPr>
                <w:rFonts w:eastAsia="PMingLiU"/>
                <w:i/>
                <w:iCs/>
                <w:sz w:val="18"/>
                <w:szCs w:val="18"/>
                <w:lang w:eastAsia="zh-TW"/>
              </w:rPr>
              <w:t>pectral density</w:t>
            </w:r>
            <w:r w:rsidRPr="00B50FDD">
              <w:rPr>
                <w:rFonts w:eastAsiaTheme="minorEastAsia"/>
                <w:i/>
                <w:iCs/>
                <w:sz w:val="18"/>
                <w:szCs w:val="18"/>
                <w:lang w:eastAsia="en-GB"/>
              </w:rPr>
              <w:t xml:space="preserve"> imbalance</w:t>
            </w:r>
            <w:bookmarkEnd w:id="6"/>
            <w:r w:rsidRPr="00B50FDD">
              <w:rPr>
                <w:rFonts w:eastAsiaTheme="minorEastAsia"/>
                <w:i/>
                <w:iCs/>
                <w:sz w:val="18"/>
                <w:szCs w:val="18"/>
                <w:lang w:eastAsia="en-GB"/>
              </w:rPr>
              <w:t xml:space="preserve"> between the two non-contiguous CCs [RAN4];</w:t>
            </w:r>
          </w:p>
          <w:p w14:paraId="65DA1117" w14:textId="77777777" w:rsidR="00B50FDD" w:rsidRPr="00B50FDD" w:rsidRDefault="00B50FDD" w:rsidP="00B50FDD">
            <w:pPr>
              <w:ind w:left="851" w:hanging="284"/>
              <w:rPr>
                <w:rFonts w:eastAsiaTheme="minorEastAsia"/>
                <w:i/>
                <w:iCs/>
                <w:sz w:val="18"/>
                <w:szCs w:val="18"/>
                <w:lang w:eastAsia="en-GB"/>
              </w:rPr>
            </w:pPr>
            <w:bookmarkStart w:id="7" w:name="OLE_LINK16"/>
            <w:bookmarkEnd w:id="5"/>
            <w:r w:rsidRPr="00B50FDD">
              <w:rPr>
                <w:rFonts w:eastAsiaTheme="minorEastAsia"/>
                <w:i/>
                <w:iCs/>
                <w:sz w:val="18"/>
                <w:szCs w:val="18"/>
                <w:lang w:eastAsia="en-GB"/>
              </w:rPr>
              <w:t>-</w:t>
            </w:r>
            <w:r w:rsidRPr="00B50FDD">
              <w:rPr>
                <w:rFonts w:eastAsiaTheme="minorEastAsia"/>
                <w:i/>
                <w:iCs/>
                <w:sz w:val="18"/>
                <w:szCs w:val="18"/>
                <w:lang w:eastAsia="en-GB"/>
              </w:rPr>
              <w:tab/>
              <w:t xml:space="preserve">Determine a reasonable level for the power </w:t>
            </w:r>
            <w:r w:rsidRPr="00B50FDD">
              <w:rPr>
                <w:rFonts w:eastAsia="PMingLiU"/>
                <w:i/>
                <w:iCs/>
                <w:sz w:val="18"/>
                <w:szCs w:val="18"/>
                <w:lang w:eastAsia="zh-TW"/>
              </w:rPr>
              <w:t>spectral density</w:t>
            </w:r>
            <w:r w:rsidRPr="00B50FDD">
              <w:rPr>
                <w:rFonts w:eastAsiaTheme="minorEastAsia"/>
                <w:i/>
                <w:iCs/>
                <w:sz w:val="18"/>
                <w:szCs w:val="18"/>
                <w:lang w:eastAsia="en-GB"/>
              </w:rPr>
              <w:t xml:space="preserve"> difference between carriers of co-located adjacent channel operators for study [RAN4]</w:t>
            </w:r>
          </w:p>
          <w:p w14:paraId="79CE7A77" w14:textId="77777777" w:rsidR="00B50FDD" w:rsidRPr="00B50FDD" w:rsidRDefault="00B50FDD" w:rsidP="00B50FDD">
            <w:pPr>
              <w:ind w:left="851" w:hanging="284"/>
              <w:rPr>
                <w:rFonts w:eastAsiaTheme="minorEastAsia"/>
                <w:i/>
                <w:iCs/>
                <w:sz w:val="18"/>
                <w:szCs w:val="18"/>
                <w:lang w:eastAsia="en-GB"/>
              </w:rPr>
            </w:pPr>
            <w:bookmarkStart w:id="8" w:name="OLE_LINK17"/>
            <w:bookmarkEnd w:id="7"/>
            <w:r w:rsidRPr="00B50FDD">
              <w:rPr>
                <w:rFonts w:eastAsiaTheme="minorEastAsia"/>
                <w:i/>
                <w:iCs/>
                <w:sz w:val="18"/>
                <w:szCs w:val="18"/>
                <w:lang w:eastAsia="en-GB"/>
              </w:rPr>
              <w:t>-</w:t>
            </w:r>
            <w:r w:rsidRPr="00B50FDD">
              <w:rPr>
                <w:rFonts w:eastAsiaTheme="minorEastAsia"/>
                <w:i/>
                <w:iCs/>
                <w:sz w:val="18"/>
                <w:szCs w:val="18"/>
                <w:lang w:eastAsia="en-GB"/>
              </w:rPr>
              <w:tab/>
              <w:t>Impacts on DL performance [RAN4] ;</w:t>
            </w:r>
          </w:p>
          <w:p w14:paraId="013D22A4" w14:textId="77777777" w:rsidR="00B50FDD" w:rsidRPr="00B50FDD" w:rsidRDefault="00B50FDD" w:rsidP="00B50FDD">
            <w:pPr>
              <w:ind w:left="851" w:hanging="284"/>
              <w:rPr>
                <w:rFonts w:eastAsiaTheme="minorEastAsia"/>
                <w:bCs/>
                <w:i/>
                <w:iCs/>
                <w:sz w:val="18"/>
                <w:szCs w:val="18"/>
                <w:lang w:eastAsia="en-GB"/>
              </w:rPr>
            </w:pPr>
            <w:bookmarkStart w:id="9" w:name="OLE_LINK1"/>
            <w:bookmarkEnd w:id="8"/>
            <w:r w:rsidRPr="00B50FDD">
              <w:rPr>
                <w:rFonts w:eastAsiaTheme="minorEastAsia"/>
                <w:i/>
                <w:iCs/>
                <w:sz w:val="18"/>
                <w:szCs w:val="18"/>
                <w:lang w:eastAsia="en-GB"/>
              </w:rPr>
              <w:t>-</w:t>
            </w:r>
            <w:r w:rsidRPr="00B50FDD">
              <w:rPr>
                <w:rFonts w:eastAsiaTheme="minorEastAsia"/>
                <w:i/>
                <w:iCs/>
                <w:sz w:val="18"/>
                <w:szCs w:val="18"/>
                <w:lang w:eastAsia="en-GB"/>
              </w:rPr>
              <w:tab/>
            </w:r>
            <w:bookmarkEnd w:id="9"/>
            <w:r w:rsidRPr="00B50FDD">
              <w:rPr>
                <w:rFonts w:eastAsiaTheme="minorEastAsia"/>
                <w:i/>
                <w:iCs/>
                <w:sz w:val="18"/>
                <w:szCs w:val="18"/>
                <w:lang w:eastAsia="en-GB"/>
              </w:rPr>
              <w:t>Means for a UE to inform the network of appropriate CA configuration it can support with adjusted RF requirements [RAN4, RAN2 – See note 2].</w:t>
            </w:r>
          </w:p>
          <w:p w14:paraId="2166A75A" w14:textId="77777777" w:rsidR="00B50FDD" w:rsidRPr="00B50FDD" w:rsidRDefault="00B50FDD" w:rsidP="00B50FDD">
            <w:pPr>
              <w:spacing w:after="0"/>
              <w:ind w:left="960"/>
              <w:rPr>
                <w:rFonts w:eastAsiaTheme="minorEastAsia"/>
                <w:bCs/>
                <w:i/>
                <w:iCs/>
                <w:sz w:val="18"/>
                <w:szCs w:val="18"/>
                <w:lang w:eastAsia="en-GB"/>
              </w:rPr>
            </w:pPr>
          </w:p>
          <w:p w14:paraId="7A2EDCE4" w14:textId="77777777" w:rsidR="00B50FDD" w:rsidRPr="00B50FDD" w:rsidRDefault="00B50FDD" w:rsidP="00B50FDD">
            <w:pPr>
              <w:keepLines/>
              <w:ind w:left="1135" w:hanging="851"/>
              <w:rPr>
                <w:rFonts w:eastAsiaTheme="minorEastAsia"/>
                <w:i/>
                <w:iCs/>
                <w:sz w:val="18"/>
                <w:szCs w:val="18"/>
                <w:lang w:eastAsia="zh-TW"/>
              </w:rPr>
            </w:pPr>
            <w:r w:rsidRPr="00B50FDD">
              <w:rPr>
                <w:rFonts w:eastAsiaTheme="minorEastAsia"/>
                <w:i/>
                <w:iCs/>
                <w:sz w:val="18"/>
                <w:szCs w:val="18"/>
                <w:lang w:eastAsia="zh-TW"/>
              </w:rPr>
              <w:t>NOTE 1:</w:t>
            </w:r>
            <w:r w:rsidRPr="00B50FDD">
              <w:rPr>
                <w:rFonts w:eastAsiaTheme="minorEastAsia"/>
                <w:i/>
                <w:iCs/>
                <w:sz w:val="18"/>
                <w:szCs w:val="18"/>
                <w:lang w:eastAsia="zh-TW"/>
              </w:rPr>
              <w:tab/>
              <w:t>No RAN1 impact is foreseen</w:t>
            </w:r>
          </w:p>
          <w:p w14:paraId="72DD212E" w14:textId="77777777" w:rsidR="00B50FDD" w:rsidRPr="00B50FDD" w:rsidRDefault="00B50FDD" w:rsidP="00B50FDD">
            <w:pPr>
              <w:keepLines/>
              <w:ind w:left="1135" w:hanging="851"/>
              <w:rPr>
                <w:rFonts w:eastAsiaTheme="minorEastAsia"/>
                <w:i/>
                <w:iCs/>
                <w:sz w:val="18"/>
                <w:szCs w:val="18"/>
                <w:lang w:eastAsia="zh-TW"/>
              </w:rPr>
            </w:pPr>
            <w:r w:rsidRPr="00B50FDD">
              <w:rPr>
                <w:rFonts w:eastAsiaTheme="minorEastAsia"/>
                <w:i/>
                <w:iCs/>
                <w:sz w:val="18"/>
                <w:szCs w:val="18"/>
                <w:lang w:eastAsia="zh-TW"/>
              </w:rPr>
              <w:t>NOTE 2:</w:t>
            </w:r>
            <w:r w:rsidRPr="00B50FDD">
              <w:rPr>
                <w:rFonts w:eastAsiaTheme="minorEastAsia"/>
                <w:i/>
                <w:iCs/>
                <w:sz w:val="18"/>
                <w:szCs w:val="18"/>
                <w:lang w:eastAsia="zh-TW"/>
              </w:rPr>
              <w:tab/>
              <w:t>RAN2 work, if necessary, will be triggered by RAN4 LS</w:t>
            </w:r>
          </w:p>
          <w:p w14:paraId="284EDE2B" w14:textId="77777777" w:rsidR="00B50FDD" w:rsidRPr="00B50FDD" w:rsidRDefault="00B50FDD" w:rsidP="00B50FDD">
            <w:pPr>
              <w:keepLines/>
              <w:ind w:left="1135" w:hanging="851"/>
              <w:rPr>
                <w:rFonts w:eastAsia="PMingLiU"/>
                <w:i/>
                <w:iCs/>
                <w:sz w:val="18"/>
                <w:szCs w:val="18"/>
                <w:lang w:eastAsia="zh-TW"/>
              </w:rPr>
            </w:pPr>
            <w:bookmarkStart w:id="10" w:name="OLE_LINK18"/>
            <w:r w:rsidRPr="00B50FDD">
              <w:rPr>
                <w:rFonts w:eastAsia="PMingLiU" w:hint="eastAsia"/>
                <w:i/>
                <w:iCs/>
                <w:sz w:val="18"/>
                <w:szCs w:val="18"/>
                <w:lang w:eastAsia="zh-TW"/>
              </w:rPr>
              <w:t>N</w:t>
            </w:r>
            <w:r w:rsidRPr="00B50FDD">
              <w:rPr>
                <w:rFonts w:eastAsia="PMingLiU"/>
                <w:i/>
                <w:iCs/>
                <w:sz w:val="18"/>
                <w:szCs w:val="18"/>
                <w:lang w:eastAsia="zh-TW"/>
              </w:rPr>
              <w:t>OTE 3:</w:t>
            </w:r>
            <w:r w:rsidRPr="00B50FDD">
              <w:rPr>
                <w:rFonts w:eastAsia="PMingLiU"/>
                <w:i/>
                <w:iCs/>
                <w:sz w:val="18"/>
                <w:szCs w:val="18"/>
                <w:lang w:eastAsia="zh-TW"/>
              </w:rPr>
              <w:tab/>
            </w:r>
            <w:bookmarkStart w:id="11" w:name="OLE_LINK21"/>
            <w:r w:rsidRPr="00B50FDD">
              <w:rPr>
                <w:rFonts w:eastAsia="PMingLiU"/>
                <w:i/>
                <w:iCs/>
                <w:sz w:val="18"/>
                <w:szCs w:val="18"/>
                <w:lang w:eastAsia="zh-TW"/>
              </w:rPr>
              <w:t xml:space="preserve">This study starts from single DL band. Sharing RF chain is not considered among inter-band DL carriers. </w:t>
            </w:r>
          </w:p>
          <w:p w14:paraId="6D7165A9" w14:textId="53B50177" w:rsidR="007264D7" w:rsidRPr="00B50FDD" w:rsidRDefault="00B50FDD" w:rsidP="00642BC6">
            <w:pPr>
              <w:keepLines/>
              <w:numPr>
                <w:ilvl w:val="0"/>
                <w:numId w:val="27"/>
              </w:numPr>
              <w:rPr>
                <w:rFonts w:eastAsia="PMingLiU"/>
                <w:i/>
                <w:iCs/>
                <w:sz w:val="18"/>
                <w:szCs w:val="18"/>
                <w:lang w:eastAsia="zh-TW"/>
              </w:rPr>
            </w:pPr>
            <w:r w:rsidRPr="00B50FDD">
              <w:rPr>
                <w:rFonts w:eastAsia="PMingLiU"/>
                <w:i/>
                <w:iCs/>
                <w:sz w:val="18"/>
                <w:szCs w:val="18"/>
                <w:lang w:eastAsia="zh-TW"/>
              </w:rPr>
              <w:t xml:space="preserve">Whether and how to apply the conclusions to intra-band component of inter-band CA will be decided after the study on </w:t>
            </w:r>
            <w:bookmarkStart w:id="12" w:name="OLE_LINK20"/>
            <w:r w:rsidRPr="00B50FDD">
              <w:rPr>
                <w:rFonts w:eastAsia="PMingLiU"/>
                <w:i/>
                <w:iCs/>
                <w:sz w:val="18"/>
                <w:szCs w:val="18"/>
                <w:lang w:eastAsia="zh-TW"/>
              </w:rPr>
              <w:t>2CC in a single DL band</w:t>
            </w:r>
            <w:bookmarkEnd w:id="12"/>
            <w:r w:rsidRPr="00B50FDD">
              <w:rPr>
                <w:rFonts w:eastAsia="PMingLiU"/>
                <w:i/>
                <w:iCs/>
                <w:sz w:val="18"/>
                <w:szCs w:val="18"/>
                <w:lang w:eastAsia="zh-TW"/>
              </w:rPr>
              <w:t xml:space="preserve"> is completed.</w:t>
            </w:r>
            <w:bookmarkEnd w:id="10"/>
            <w:bookmarkEnd w:id="11"/>
          </w:p>
        </w:tc>
      </w:tr>
    </w:tbl>
    <w:p w14:paraId="59F75DC1" w14:textId="77777777" w:rsidR="007264D7" w:rsidRDefault="007264D7" w:rsidP="00642BC6">
      <w:pPr>
        <w:rPr>
          <w:lang w:val="sv-SE" w:eastAsia="ja-JP"/>
        </w:rPr>
      </w:pPr>
    </w:p>
    <w:p w14:paraId="04A56A67" w14:textId="398B2E6C" w:rsidR="00523FA6" w:rsidRPr="008B7229" w:rsidRDefault="00523FA6" w:rsidP="00642BC6">
      <w:pPr>
        <w:rPr>
          <w:lang w:val="sv-SE" w:eastAsia="ja-JP"/>
        </w:rPr>
      </w:pPr>
      <w:r>
        <w:rPr>
          <w:lang w:val="sv-SE" w:eastAsia="ja-JP"/>
        </w:rPr>
        <w:t xml:space="preserve">In this contribution, we </w:t>
      </w:r>
      <w:r w:rsidR="00012787">
        <w:rPr>
          <w:lang w:val="sv-SE" w:eastAsia="ja-JP"/>
        </w:rPr>
        <w:t>seek</w:t>
      </w:r>
      <w:r w:rsidR="00B81C05">
        <w:rPr>
          <w:lang w:val="sv-SE" w:eastAsia="ja-JP"/>
        </w:rPr>
        <w:t xml:space="preserve"> to </w:t>
      </w:r>
      <w:r w:rsidR="001301AE">
        <w:rPr>
          <w:lang w:val="sv-SE" w:eastAsia="ja-JP"/>
        </w:rPr>
        <w:t>identify the necessary clarification on</w:t>
      </w:r>
      <w:r w:rsidR="00B81C05">
        <w:rPr>
          <w:lang w:val="sv-SE" w:eastAsia="ja-JP"/>
        </w:rPr>
        <w:t xml:space="preserve"> the scope and scenarios in this SID</w:t>
      </w:r>
      <w:r w:rsidR="00622C7A">
        <w:rPr>
          <w:lang w:val="sv-SE" w:eastAsia="ja-JP"/>
        </w:rPr>
        <w:t xml:space="preserve">, and further </w:t>
      </w:r>
      <w:r w:rsidR="007C3346">
        <w:rPr>
          <w:lang w:val="sv-SE" w:eastAsia="ja-JP"/>
        </w:rPr>
        <w:t>raise</w:t>
      </w:r>
      <w:r w:rsidR="00622C7A">
        <w:rPr>
          <w:lang w:val="sv-SE" w:eastAsia="ja-JP"/>
        </w:rPr>
        <w:t xml:space="preserve"> some </w:t>
      </w:r>
      <w:r w:rsidR="007C3346">
        <w:rPr>
          <w:lang w:val="sv-SE" w:eastAsia="ja-JP"/>
        </w:rPr>
        <w:t>essential questions</w:t>
      </w:r>
      <w:r w:rsidR="00622C7A">
        <w:rPr>
          <w:lang w:val="sv-SE" w:eastAsia="ja-JP"/>
        </w:rPr>
        <w:t xml:space="preserve"> for the study</w:t>
      </w:r>
      <w:r w:rsidR="007C3346">
        <w:rPr>
          <w:lang w:val="sv-SE" w:eastAsia="ja-JP"/>
        </w:rPr>
        <w:t xml:space="preserve"> which are expected to be answered from the proponents</w:t>
      </w:r>
      <w:r w:rsidR="00B81C05">
        <w:rPr>
          <w:lang w:val="sv-SE" w:eastAsia="ja-JP"/>
        </w:rPr>
        <w:t>.</w:t>
      </w:r>
    </w:p>
    <w:p w14:paraId="609286E5" w14:textId="522C2324" w:rsidR="00E80B52" w:rsidRDefault="008B7229" w:rsidP="00805BE8">
      <w:pPr>
        <w:pStyle w:val="Heading1"/>
        <w:rPr>
          <w:lang w:eastAsia="ja-JP"/>
        </w:rPr>
      </w:pPr>
      <w:r>
        <w:rPr>
          <w:lang w:eastAsia="ja-JP"/>
        </w:rPr>
        <w:t>Discussion</w:t>
      </w:r>
    </w:p>
    <w:p w14:paraId="5CC075F2" w14:textId="77777777" w:rsidR="005F5158" w:rsidRDefault="005F5158" w:rsidP="005F5158">
      <w:pPr>
        <w:rPr>
          <w:b/>
          <w:bCs/>
          <w:u w:val="single"/>
          <w:lang w:val="en-US" w:eastAsia="ja-JP"/>
        </w:rPr>
      </w:pPr>
      <w:r w:rsidRPr="00E84FAE">
        <w:rPr>
          <w:b/>
          <w:bCs/>
          <w:u w:val="single"/>
          <w:lang w:val="en-US" w:eastAsia="ja-JP"/>
        </w:rPr>
        <w:t>Clarification on the work scope</w:t>
      </w:r>
    </w:p>
    <w:p w14:paraId="6F4E1505" w14:textId="39FE3250" w:rsidR="004A372B" w:rsidRPr="004A372B" w:rsidRDefault="004A372B" w:rsidP="005F5158">
      <w:pPr>
        <w:rPr>
          <w:lang w:val="en-US" w:eastAsia="ja-JP"/>
        </w:rPr>
      </w:pPr>
      <w:r>
        <w:rPr>
          <w:lang w:val="en-US" w:eastAsia="ja-JP"/>
        </w:rPr>
        <w:t xml:space="preserve">By reading the original proposal [2], the demand for this study comes from a collocated deployment scenario where two operators owning two non-contiguous frequency carriers support intra-band non-contiguous CA operation for these two CCs in an </w:t>
      </w:r>
      <w:r w:rsidR="000617C2">
        <w:rPr>
          <w:lang w:val="en-US" w:eastAsia="ja-JP"/>
        </w:rPr>
        <w:t>enhanced</w:t>
      </w:r>
      <w:r>
        <w:rPr>
          <w:lang w:val="en-US" w:eastAsia="ja-JP"/>
        </w:rPr>
        <w:t xml:space="preserve"> manner while there is a third carrier owning by a third operator, and the </w:t>
      </w:r>
      <w:r w:rsidR="000617C2">
        <w:rPr>
          <w:lang w:val="en-US" w:eastAsia="ja-JP"/>
        </w:rPr>
        <w:t>enhancement</w:t>
      </w:r>
      <w:r>
        <w:rPr>
          <w:lang w:val="en-US" w:eastAsia="ja-JP"/>
        </w:rPr>
        <w:t xml:space="preserve"> is enabled by </w:t>
      </w:r>
      <w:r>
        <w:rPr>
          <w:lang w:val="en-US" w:eastAsia="ja-JP"/>
        </w:rPr>
        <w:t>the reception of these two CCs like a “virtual DL CC”</w:t>
      </w:r>
      <w:r>
        <w:rPr>
          <w:lang w:val="en-US" w:eastAsia="ja-JP"/>
        </w:rPr>
        <w:t xml:space="preserve"> resulting in a reduced number of DL Rx chains. Fig.1 illustrates the deployment scenario</w:t>
      </w:r>
      <w:r w:rsidR="0020489A">
        <w:rPr>
          <w:lang w:val="en-US" w:eastAsia="ja-JP"/>
        </w:rPr>
        <w:t>, named “inter-operator collocated scenario” in the SID</w:t>
      </w:r>
      <w:r>
        <w:rPr>
          <w:lang w:val="en-US" w:eastAsia="ja-JP"/>
        </w:rPr>
        <w:t xml:space="preserve">. </w:t>
      </w:r>
    </w:p>
    <w:p w14:paraId="76E23DBC" w14:textId="4FAC163B" w:rsidR="00E84FAE" w:rsidRDefault="004A372B" w:rsidP="004A372B">
      <w:pPr>
        <w:jc w:val="center"/>
        <w:rPr>
          <w:lang w:val="en-US" w:eastAsia="ja-JP"/>
        </w:rPr>
      </w:pPr>
      <w:r>
        <w:rPr>
          <w:noProof/>
        </w:rPr>
        <w:lastRenderedPageBreak/>
        <w:drawing>
          <wp:inline distT="0" distB="0" distL="0" distR="0" wp14:anchorId="2AFD174C" wp14:editId="4C0DAF54">
            <wp:extent cx="3829050" cy="1828800"/>
            <wp:effectExtent l="0" t="0" r="0" b="0"/>
            <wp:docPr id="78196785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29050" cy="1828800"/>
                    </a:xfrm>
                    <a:prstGeom prst="rect">
                      <a:avLst/>
                    </a:prstGeom>
                    <a:noFill/>
                    <a:ln>
                      <a:noFill/>
                    </a:ln>
                  </pic:spPr>
                </pic:pic>
              </a:graphicData>
            </a:graphic>
          </wp:inline>
        </w:drawing>
      </w:r>
    </w:p>
    <w:p w14:paraId="5FE88F01" w14:textId="5E7866D4" w:rsidR="004A372B" w:rsidRDefault="004A372B" w:rsidP="004A372B">
      <w:pPr>
        <w:jc w:val="center"/>
        <w:rPr>
          <w:lang w:val="en-US" w:eastAsia="ja-JP"/>
        </w:rPr>
      </w:pPr>
      <w:r>
        <w:rPr>
          <w:lang w:val="en-US" w:eastAsia="ja-JP"/>
        </w:rPr>
        <w:t>Fig. 1, Deployment scenario for SID</w:t>
      </w:r>
    </w:p>
    <w:p w14:paraId="152958C1" w14:textId="77FB3CEF" w:rsidR="004A372B" w:rsidRDefault="0020489A" w:rsidP="005F5158">
      <w:pPr>
        <w:rPr>
          <w:lang w:val="en-US" w:eastAsia="ja-JP"/>
        </w:rPr>
      </w:pPr>
      <w:r>
        <w:rPr>
          <w:lang w:val="en-US" w:eastAsia="ja-JP"/>
        </w:rPr>
        <w:t>However, the description above is not reflected in the SID, except the term of “inter-operator collocated scenario” as the target scenario. Hence, it is necessary to clarify the term and accordingly revise the SID to facilitate the study.</w:t>
      </w:r>
    </w:p>
    <w:p w14:paraId="24EAE407" w14:textId="7C20D196" w:rsidR="0020489A" w:rsidRPr="0020489A" w:rsidRDefault="0020489A" w:rsidP="005F5158">
      <w:pPr>
        <w:rPr>
          <w:b/>
          <w:bCs/>
          <w:lang w:val="en-US" w:eastAsia="ja-JP"/>
        </w:rPr>
      </w:pPr>
      <w:r w:rsidRPr="0020489A">
        <w:rPr>
          <w:b/>
          <w:bCs/>
          <w:lang w:val="en-US" w:eastAsia="ja-JP"/>
        </w:rPr>
        <w:t>Proposal 1: RAN4 to clarify the exact meaning of inter-operator collocated scenario and update the SID accordingly</w:t>
      </w:r>
      <w:r>
        <w:rPr>
          <w:b/>
          <w:bCs/>
          <w:lang w:val="en-US" w:eastAsia="ja-JP"/>
        </w:rPr>
        <w:t xml:space="preserve"> to facilitate the study</w:t>
      </w:r>
      <w:r w:rsidRPr="0020489A">
        <w:rPr>
          <w:b/>
          <w:bCs/>
          <w:lang w:val="en-US" w:eastAsia="ja-JP"/>
        </w:rPr>
        <w:t>.</w:t>
      </w:r>
    </w:p>
    <w:p w14:paraId="72756B96" w14:textId="7605B883" w:rsidR="004A372B" w:rsidRDefault="001301AE" w:rsidP="005F5158">
      <w:pPr>
        <w:rPr>
          <w:lang w:val="en-US" w:eastAsia="ja-JP"/>
        </w:rPr>
      </w:pPr>
      <w:r>
        <w:rPr>
          <w:lang w:val="en-US" w:eastAsia="ja-JP"/>
        </w:rPr>
        <w:t>Furthermore</w:t>
      </w:r>
      <w:r w:rsidR="000617C2">
        <w:rPr>
          <w:lang w:val="en-US" w:eastAsia="ja-JP"/>
        </w:rPr>
        <w:t>, considering to minimize the specs impacts, the “enhanced” reception of the two non-contiguous CCs is still under the current DL non-contiguous CA framework, i.e., the two non-contiguous belong to two different cells, but received by a shared Rx chain, although some RF requirements may be impacted by this enhancement.</w:t>
      </w:r>
    </w:p>
    <w:p w14:paraId="71B3A694" w14:textId="0BCBCBF4" w:rsidR="000617C2" w:rsidRPr="001301AE" w:rsidRDefault="000617C2" w:rsidP="005F5158">
      <w:pPr>
        <w:rPr>
          <w:b/>
          <w:bCs/>
          <w:lang w:val="en-US" w:eastAsia="ja-JP"/>
        </w:rPr>
      </w:pPr>
      <w:r w:rsidRPr="001301AE">
        <w:rPr>
          <w:b/>
          <w:bCs/>
          <w:lang w:val="en-US" w:eastAsia="ja-JP"/>
        </w:rPr>
        <w:t xml:space="preserve">Proposal 2: RAN4 to clarify that </w:t>
      </w:r>
      <w:r w:rsidR="001301AE" w:rsidRPr="001301AE">
        <w:rPr>
          <w:b/>
          <w:bCs/>
          <w:lang w:val="en-US" w:eastAsia="ja-JP"/>
        </w:rPr>
        <w:t xml:space="preserve">the </w:t>
      </w:r>
      <w:r w:rsidR="001301AE" w:rsidRPr="001301AE">
        <w:rPr>
          <w:b/>
          <w:bCs/>
          <w:lang w:val="en-US" w:eastAsia="ja-JP"/>
        </w:rPr>
        <w:t>reception of the two non-contiguous CCs is still under the current DL non-contiguous CA framework, i.e., the two non-contiguous belong to two different cells, but received by a shared Rx chain, although some RF requirements may be impacted by this enhancement.</w:t>
      </w:r>
    </w:p>
    <w:p w14:paraId="25219043" w14:textId="1F6A2988" w:rsidR="001301AE" w:rsidRDefault="001301AE" w:rsidP="005F5158">
      <w:pPr>
        <w:rPr>
          <w:lang w:val="en-US" w:eastAsia="ja-JP"/>
        </w:rPr>
      </w:pPr>
      <w:r>
        <w:rPr>
          <w:lang w:val="en-US" w:eastAsia="ja-JP"/>
        </w:rPr>
        <w:t xml:space="preserve">And for the sake of simplicity, DL MIMO should not be considered, and RAN4 can focus on </w:t>
      </w:r>
      <w:r w:rsidR="0091165D">
        <w:rPr>
          <w:lang w:val="en-US" w:eastAsia="ja-JP"/>
        </w:rPr>
        <w:t>non-DL-MIMO at this stage.</w:t>
      </w:r>
    </w:p>
    <w:p w14:paraId="03428853" w14:textId="70E2B841" w:rsidR="0091165D" w:rsidRPr="0091165D" w:rsidRDefault="0091165D" w:rsidP="005F5158">
      <w:pPr>
        <w:rPr>
          <w:b/>
          <w:bCs/>
          <w:lang w:val="en-US" w:eastAsia="ja-JP"/>
        </w:rPr>
      </w:pPr>
      <w:r w:rsidRPr="0091165D">
        <w:rPr>
          <w:b/>
          <w:bCs/>
          <w:lang w:val="en-US" w:eastAsia="ja-JP"/>
        </w:rPr>
        <w:t>Proposal 3: At this stage RAN4 does not take DL MIMO into account.</w:t>
      </w:r>
    </w:p>
    <w:p w14:paraId="7C18233A" w14:textId="2818F81F" w:rsidR="001301AE" w:rsidRDefault="001301AE" w:rsidP="005F5158">
      <w:pPr>
        <w:rPr>
          <w:lang w:val="en-US" w:eastAsia="ja-JP"/>
        </w:rPr>
      </w:pPr>
      <w:r>
        <w:rPr>
          <w:lang w:val="en-US" w:eastAsia="ja-JP"/>
        </w:rPr>
        <w:t>Moreover, the objective only focus</w:t>
      </w:r>
      <w:r w:rsidR="0091165D">
        <w:rPr>
          <w:lang w:val="en-US" w:eastAsia="ja-JP"/>
        </w:rPr>
        <w:t xml:space="preserve">es on DL reception, and it is not clear what is </w:t>
      </w:r>
      <w:r>
        <w:rPr>
          <w:lang w:val="en-US" w:eastAsia="ja-JP"/>
        </w:rPr>
        <w:t>the uplink configuration in this study</w:t>
      </w:r>
      <w:r w:rsidR="0091165D">
        <w:rPr>
          <w:lang w:val="en-US" w:eastAsia="ja-JP"/>
        </w:rPr>
        <w:t xml:space="preserve"> which requires clarification as well. And it is important to conduct Rx requirement impacts.</w:t>
      </w:r>
    </w:p>
    <w:p w14:paraId="5EF111D8" w14:textId="6C114944" w:rsidR="0091165D" w:rsidRPr="00A412F7" w:rsidRDefault="0091165D" w:rsidP="005F5158">
      <w:pPr>
        <w:rPr>
          <w:b/>
          <w:bCs/>
          <w:lang w:val="en-US" w:eastAsia="ja-JP"/>
        </w:rPr>
      </w:pPr>
      <w:r w:rsidRPr="00A412F7">
        <w:rPr>
          <w:b/>
          <w:bCs/>
          <w:lang w:val="en-US" w:eastAsia="ja-JP"/>
        </w:rPr>
        <w:t>Proposal 4: RAN4 to clarify the intended uplink configuration in this study.</w:t>
      </w:r>
    </w:p>
    <w:p w14:paraId="0CC96E87" w14:textId="1AA25813" w:rsidR="005F5158" w:rsidRPr="005F5158" w:rsidRDefault="0091165D" w:rsidP="0091165D">
      <w:pPr>
        <w:rPr>
          <w:lang w:val="en-US" w:eastAsia="ja-JP"/>
        </w:rPr>
      </w:pPr>
      <w:r>
        <w:rPr>
          <w:lang w:val="en-US" w:eastAsia="ja-JP"/>
        </w:rPr>
        <w:t>Finally, there are two essential questions which require confirmation from proponents.</w:t>
      </w:r>
      <w:r w:rsidR="005F5158" w:rsidRPr="005F5158">
        <w:rPr>
          <w:lang w:val="en-US" w:eastAsia="ja-JP"/>
        </w:rPr>
        <w:t xml:space="preserve"> </w:t>
      </w:r>
    </w:p>
    <w:p w14:paraId="65EEB7F2" w14:textId="7CAA2951" w:rsidR="008B7229" w:rsidRDefault="0091165D" w:rsidP="008B7229">
      <w:pPr>
        <w:rPr>
          <w:lang w:val="en-US" w:eastAsia="ja-JP"/>
        </w:rPr>
      </w:pPr>
      <w:r>
        <w:rPr>
          <w:lang w:val="en-US" w:eastAsia="ja-JP"/>
        </w:rPr>
        <w:t>The first one is on the frequency span. Now it is the maximum channel bandwidth, i.e., 100MHz for FR1, however, for SCS 15kHz, the maximum channel bandwidth is 50MHz instead, therefore, a confirmation from proponents is required for the intended frequency span.</w:t>
      </w:r>
    </w:p>
    <w:p w14:paraId="6FBE0ABD" w14:textId="3AC8C35E" w:rsidR="005325CA" w:rsidRPr="0091165D" w:rsidRDefault="007C3346" w:rsidP="008B7229">
      <w:pPr>
        <w:rPr>
          <w:b/>
          <w:bCs/>
          <w:noProof/>
          <w:lang w:val="en-US" w:eastAsia="ja-JP"/>
        </w:rPr>
      </w:pPr>
      <w:r w:rsidRPr="0091165D">
        <w:rPr>
          <w:b/>
          <w:bCs/>
          <w:noProof/>
          <w:lang w:val="en-US" w:eastAsia="ja-JP"/>
        </w:rPr>
        <w:t xml:space="preserve">Question 1: </w:t>
      </w:r>
      <w:r w:rsidR="004A372B" w:rsidRPr="0091165D">
        <w:rPr>
          <w:b/>
          <w:bCs/>
          <w:noProof/>
          <w:lang w:val="en-US" w:eastAsia="ja-JP"/>
        </w:rPr>
        <w:t xml:space="preserve">According to the original intention, some clarification is required on the DL frequency span, i.e., </w:t>
      </w:r>
      <w:r w:rsidRPr="0091165D">
        <w:rPr>
          <w:b/>
          <w:bCs/>
          <w:noProof/>
          <w:lang w:val="en-US" w:eastAsia="ja-JP"/>
        </w:rPr>
        <w:t>DL frequency span</w:t>
      </w:r>
      <w:r w:rsidR="004A372B" w:rsidRPr="0091165D">
        <w:rPr>
          <w:rFonts w:hint="eastAsia"/>
          <w:b/>
          <w:bCs/>
          <w:noProof/>
          <w:lang w:val="en-US" w:eastAsia="ja-JP"/>
        </w:rPr>
        <w:t>≤</w:t>
      </w:r>
      <w:r w:rsidRPr="0091165D">
        <w:rPr>
          <w:b/>
          <w:bCs/>
          <w:noProof/>
          <w:lang w:val="en-US" w:eastAsia="ja-JP"/>
        </w:rPr>
        <w:t xml:space="preserve">100MHz is only for SCS 30kHz, and </w:t>
      </w:r>
      <w:r w:rsidR="004A372B" w:rsidRPr="0091165D">
        <w:rPr>
          <w:rFonts w:hint="eastAsia"/>
          <w:b/>
          <w:bCs/>
          <w:noProof/>
          <w:lang w:val="en-US" w:eastAsia="ja-JP"/>
        </w:rPr>
        <w:t>≤</w:t>
      </w:r>
      <w:r w:rsidR="004A372B" w:rsidRPr="0091165D">
        <w:rPr>
          <w:rFonts w:hint="eastAsia"/>
          <w:b/>
          <w:bCs/>
          <w:noProof/>
          <w:lang w:val="en-US" w:eastAsia="ja-JP"/>
        </w:rPr>
        <w:t xml:space="preserve"> </w:t>
      </w:r>
      <w:r w:rsidRPr="0091165D">
        <w:rPr>
          <w:b/>
          <w:bCs/>
          <w:noProof/>
          <w:lang w:val="en-US" w:eastAsia="ja-JP"/>
        </w:rPr>
        <w:t xml:space="preserve"> 50MHz for SCS 15kHz?</w:t>
      </w:r>
    </w:p>
    <w:p w14:paraId="073942D9" w14:textId="77777777" w:rsidR="0091165D" w:rsidRDefault="0091165D" w:rsidP="008B7229">
      <w:pPr>
        <w:rPr>
          <w:noProof/>
          <w:lang w:val="en-US" w:eastAsia="ja-JP"/>
        </w:rPr>
      </w:pPr>
      <w:r>
        <w:rPr>
          <w:noProof/>
          <w:lang w:val="en-US" w:eastAsia="ja-JP"/>
        </w:rPr>
        <w:t>Secondly, f</w:t>
      </w:r>
      <w:r w:rsidR="007C3346">
        <w:rPr>
          <w:noProof/>
          <w:lang w:val="en-US" w:eastAsia="ja-JP"/>
        </w:rPr>
        <w:t xml:space="preserve">or the band with 100kHz channel raster, </w:t>
      </w:r>
      <w:r w:rsidR="004A372B">
        <w:rPr>
          <w:noProof/>
          <w:lang w:val="en-US" w:eastAsia="ja-JP"/>
        </w:rPr>
        <w:t>literally the subcarrier grid of the third CC (</w:t>
      </w:r>
      <w:r w:rsidR="007C3346">
        <w:rPr>
          <w:noProof/>
          <w:lang w:val="en-US" w:eastAsia="ja-JP"/>
        </w:rPr>
        <w:t>from the third operator</w:t>
      </w:r>
      <w:r w:rsidR="004A372B">
        <w:rPr>
          <w:noProof/>
          <w:lang w:val="en-US" w:eastAsia="ja-JP"/>
        </w:rPr>
        <w:t>) located</w:t>
      </w:r>
      <w:r w:rsidR="007C3346">
        <w:rPr>
          <w:noProof/>
          <w:lang w:val="en-US" w:eastAsia="ja-JP"/>
        </w:rPr>
        <w:t xml:space="preserve"> in the gap between two intended CCs </w:t>
      </w:r>
      <w:r w:rsidR="004A372B">
        <w:rPr>
          <w:noProof/>
          <w:lang w:val="en-US" w:eastAsia="ja-JP"/>
        </w:rPr>
        <w:t xml:space="preserve">may not be </w:t>
      </w:r>
      <w:r w:rsidR="007C3346">
        <w:rPr>
          <w:noProof/>
          <w:lang w:val="en-US" w:eastAsia="ja-JP"/>
        </w:rPr>
        <w:t>aligned with subcarriers of the two CCs</w:t>
      </w:r>
      <w:r w:rsidR="004A372B">
        <w:rPr>
          <w:noProof/>
          <w:lang w:val="en-US" w:eastAsia="ja-JP"/>
        </w:rPr>
        <w:t xml:space="preserve"> according to the current specs, </w:t>
      </w:r>
      <w:r>
        <w:rPr>
          <w:noProof/>
          <w:lang w:val="en-US" w:eastAsia="ja-JP"/>
        </w:rPr>
        <w:t>however it would make different if they can be alighed.</w:t>
      </w:r>
    </w:p>
    <w:p w14:paraId="611ADE74" w14:textId="586242A0" w:rsidR="007C3346" w:rsidRPr="0091165D" w:rsidRDefault="0091165D" w:rsidP="008B7229">
      <w:pPr>
        <w:rPr>
          <w:b/>
          <w:bCs/>
          <w:noProof/>
          <w:lang w:val="en-US" w:eastAsia="ja-JP"/>
        </w:rPr>
      </w:pPr>
      <w:r w:rsidRPr="0091165D">
        <w:rPr>
          <w:b/>
          <w:bCs/>
          <w:noProof/>
          <w:lang w:val="en-US" w:eastAsia="ja-JP"/>
        </w:rPr>
        <w:t>Question 2:</w:t>
      </w:r>
      <w:r w:rsidR="004A372B" w:rsidRPr="0091165D">
        <w:rPr>
          <w:b/>
          <w:bCs/>
          <w:noProof/>
          <w:lang w:val="en-US" w:eastAsia="ja-JP"/>
        </w:rPr>
        <w:t xml:space="preserve"> </w:t>
      </w:r>
      <w:r w:rsidRPr="0091165D">
        <w:rPr>
          <w:b/>
          <w:bCs/>
          <w:noProof/>
          <w:lang w:val="en-US" w:eastAsia="ja-JP"/>
        </w:rPr>
        <w:t>I</w:t>
      </w:r>
      <w:r w:rsidR="004A372B" w:rsidRPr="0091165D">
        <w:rPr>
          <w:b/>
          <w:bCs/>
          <w:noProof/>
          <w:lang w:val="en-US" w:eastAsia="ja-JP"/>
        </w:rPr>
        <w:t xml:space="preserve">s there any regulation that could guarantee the subcarrier grid alignment among all operators in a </w:t>
      </w:r>
      <w:r w:rsidRPr="0091165D">
        <w:rPr>
          <w:b/>
          <w:bCs/>
          <w:noProof/>
          <w:lang w:val="en-US" w:eastAsia="ja-JP"/>
        </w:rPr>
        <w:t xml:space="preserve">single </w:t>
      </w:r>
      <w:r w:rsidR="004A372B" w:rsidRPr="0091165D">
        <w:rPr>
          <w:b/>
          <w:bCs/>
          <w:noProof/>
          <w:lang w:val="en-US" w:eastAsia="ja-JP"/>
        </w:rPr>
        <w:t>band with 100kHz channel raster?</w:t>
      </w:r>
    </w:p>
    <w:p w14:paraId="16E6E2CC" w14:textId="0C19665B" w:rsidR="005325CA" w:rsidRPr="0091165D" w:rsidRDefault="004A372B" w:rsidP="008B7229">
      <w:pPr>
        <w:rPr>
          <w:b/>
          <w:bCs/>
          <w:lang w:val="en-US" w:eastAsia="ja-JP"/>
        </w:rPr>
      </w:pPr>
      <w:r w:rsidRPr="0091165D">
        <w:rPr>
          <w:b/>
          <w:bCs/>
          <w:lang w:val="en-US" w:eastAsia="ja-JP"/>
        </w:rPr>
        <w:t xml:space="preserve">Proposal </w:t>
      </w:r>
      <w:r w:rsidR="00A412F7">
        <w:rPr>
          <w:b/>
          <w:bCs/>
          <w:lang w:val="en-US" w:eastAsia="ja-JP"/>
        </w:rPr>
        <w:t>5</w:t>
      </w:r>
      <w:r w:rsidR="0091165D" w:rsidRPr="0091165D">
        <w:rPr>
          <w:b/>
          <w:bCs/>
          <w:lang w:val="en-US" w:eastAsia="ja-JP"/>
        </w:rPr>
        <w:t>: The answers to the following questions from proponents are needed:</w:t>
      </w:r>
    </w:p>
    <w:p w14:paraId="1D27476A" w14:textId="42D4F920" w:rsidR="0091165D" w:rsidRPr="0091165D" w:rsidRDefault="0091165D" w:rsidP="0091165D">
      <w:pPr>
        <w:pStyle w:val="ListParagraph"/>
        <w:numPr>
          <w:ilvl w:val="0"/>
          <w:numId w:val="31"/>
        </w:numPr>
        <w:ind w:firstLineChars="0"/>
        <w:rPr>
          <w:lang w:val="en-US" w:eastAsia="ja-JP"/>
        </w:rPr>
      </w:pPr>
      <w:r w:rsidRPr="0091165D">
        <w:rPr>
          <w:b/>
          <w:bCs/>
          <w:noProof/>
          <w:lang w:val="en-US" w:eastAsia="ja-JP"/>
        </w:rPr>
        <w:t>Question 1: According to the original intention, some clarification is required on the DL frequency span, i.e., DL frequency span</w:t>
      </w:r>
      <w:r w:rsidRPr="0091165D">
        <w:rPr>
          <w:rFonts w:hint="eastAsia"/>
          <w:b/>
          <w:bCs/>
          <w:noProof/>
          <w:lang w:val="en-US" w:eastAsia="ja-JP"/>
        </w:rPr>
        <w:t>≤</w:t>
      </w:r>
      <w:r w:rsidRPr="0091165D">
        <w:rPr>
          <w:b/>
          <w:bCs/>
          <w:noProof/>
          <w:lang w:val="en-US" w:eastAsia="ja-JP"/>
        </w:rPr>
        <w:t xml:space="preserve">100MHz is only for SCS 30kHz, and </w:t>
      </w:r>
      <w:r w:rsidRPr="0091165D">
        <w:rPr>
          <w:rFonts w:hint="eastAsia"/>
          <w:b/>
          <w:bCs/>
          <w:noProof/>
          <w:lang w:val="en-US" w:eastAsia="ja-JP"/>
        </w:rPr>
        <w:t>≤</w:t>
      </w:r>
      <w:r w:rsidRPr="0091165D">
        <w:rPr>
          <w:rFonts w:hint="eastAsia"/>
          <w:b/>
          <w:bCs/>
          <w:noProof/>
          <w:lang w:val="en-US" w:eastAsia="ja-JP"/>
        </w:rPr>
        <w:t xml:space="preserve"> </w:t>
      </w:r>
      <w:r w:rsidRPr="0091165D">
        <w:rPr>
          <w:b/>
          <w:bCs/>
          <w:noProof/>
          <w:lang w:val="en-US" w:eastAsia="ja-JP"/>
        </w:rPr>
        <w:t xml:space="preserve"> 50MHz for SCS 15kHz?</w:t>
      </w:r>
    </w:p>
    <w:p w14:paraId="38D6389E" w14:textId="63617DFB" w:rsidR="0091165D" w:rsidRPr="0091165D" w:rsidRDefault="0091165D" w:rsidP="0091165D">
      <w:pPr>
        <w:pStyle w:val="ListParagraph"/>
        <w:numPr>
          <w:ilvl w:val="0"/>
          <w:numId w:val="31"/>
        </w:numPr>
        <w:ind w:firstLineChars="0"/>
        <w:rPr>
          <w:lang w:val="en-US" w:eastAsia="ja-JP"/>
        </w:rPr>
      </w:pPr>
      <w:r w:rsidRPr="0091165D">
        <w:rPr>
          <w:b/>
          <w:bCs/>
          <w:noProof/>
          <w:lang w:val="en-US" w:eastAsia="ja-JP"/>
        </w:rPr>
        <w:t>Question 2: Is there any regulation that could guarantee the subcarrier grid alignment among all operators in a single band with 100kHz channel raster?</w:t>
      </w:r>
    </w:p>
    <w:p w14:paraId="74FB667F" w14:textId="77777777" w:rsidR="005325CA" w:rsidRPr="005F5158" w:rsidRDefault="005325CA" w:rsidP="008B7229">
      <w:pPr>
        <w:rPr>
          <w:lang w:val="en-US" w:eastAsia="ja-JP"/>
        </w:rPr>
      </w:pPr>
    </w:p>
    <w:p w14:paraId="0EF0B9CE" w14:textId="6BC7660F" w:rsidR="00923222" w:rsidRDefault="00923222" w:rsidP="00923222">
      <w:pPr>
        <w:pStyle w:val="Heading1"/>
        <w:rPr>
          <w:lang w:eastAsia="ja-JP"/>
        </w:rPr>
      </w:pPr>
      <w:r>
        <w:rPr>
          <w:lang w:eastAsia="ja-JP"/>
        </w:rPr>
        <w:lastRenderedPageBreak/>
        <w:t>Conclusion</w:t>
      </w:r>
    </w:p>
    <w:p w14:paraId="1DD94B9D" w14:textId="64BEBA12" w:rsidR="00923222" w:rsidRDefault="00A412F7" w:rsidP="008B7229">
      <w:pPr>
        <w:rPr>
          <w:lang w:val="sv-SE" w:eastAsia="ja-JP"/>
        </w:rPr>
      </w:pPr>
      <w:r>
        <w:rPr>
          <w:lang w:val="sv-SE" w:eastAsia="ja-JP"/>
        </w:rPr>
        <w:t>In this contribution, we have the following proposals on the scope for this study item on the fragmented DL carriers:</w:t>
      </w:r>
    </w:p>
    <w:p w14:paraId="5DCDA305" w14:textId="77777777" w:rsidR="00A412F7" w:rsidRPr="0020489A" w:rsidRDefault="00A412F7" w:rsidP="00A412F7">
      <w:pPr>
        <w:rPr>
          <w:b/>
          <w:bCs/>
          <w:lang w:val="en-US" w:eastAsia="ja-JP"/>
        </w:rPr>
      </w:pPr>
      <w:r w:rsidRPr="0020489A">
        <w:rPr>
          <w:b/>
          <w:bCs/>
          <w:lang w:val="en-US" w:eastAsia="ja-JP"/>
        </w:rPr>
        <w:t>Proposal 1: RAN4 to clarify the exact meaning of inter-operator collocated scenario and update the SID accordingly</w:t>
      </w:r>
      <w:r>
        <w:rPr>
          <w:b/>
          <w:bCs/>
          <w:lang w:val="en-US" w:eastAsia="ja-JP"/>
        </w:rPr>
        <w:t xml:space="preserve"> to facilitate the study</w:t>
      </w:r>
      <w:r w:rsidRPr="0020489A">
        <w:rPr>
          <w:b/>
          <w:bCs/>
          <w:lang w:val="en-US" w:eastAsia="ja-JP"/>
        </w:rPr>
        <w:t>.</w:t>
      </w:r>
    </w:p>
    <w:p w14:paraId="72BA05EF" w14:textId="1275B50D" w:rsidR="00A412F7" w:rsidRPr="00A412F7" w:rsidRDefault="00871C39" w:rsidP="008B7229">
      <w:pPr>
        <w:rPr>
          <w:lang w:val="en-US" w:eastAsia="ja-JP"/>
        </w:rPr>
      </w:pPr>
      <w:r w:rsidRPr="001301AE">
        <w:rPr>
          <w:b/>
          <w:bCs/>
          <w:lang w:val="en-US" w:eastAsia="ja-JP"/>
        </w:rPr>
        <w:t>Proposal 2: RAN4 to clarify that the reception of the two non-contiguous CCs is still under the current DL non-contiguous CA framework, i.e., the two non-contiguous belong to two different cells, but received by a shared Rx chain, although some RF requirements may be impacted by this enhancement.</w:t>
      </w:r>
    </w:p>
    <w:p w14:paraId="2BCEA682" w14:textId="15CBDDCD" w:rsidR="00923222" w:rsidRDefault="00871C39" w:rsidP="008B7229">
      <w:pPr>
        <w:rPr>
          <w:b/>
          <w:bCs/>
          <w:lang w:val="en-US" w:eastAsia="ja-JP"/>
        </w:rPr>
      </w:pPr>
      <w:r w:rsidRPr="0091165D">
        <w:rPr>
          <w:b/>
          <w:bCs/>
          <w:lang w:val="en-US" w:eastAsia="ja-JP"/>
        </w:rPr>
        <w:t>Proposal 3: At this stage RAN4 does not take DL MIMO into account.</w:t>
      </w:r>
    </w:p>
    <w:p w14:paraId="3C069EE9" w14:textId="650B302D" w:rsidR="00871C39" w:rsidRDefault="00871C39" w:rsidP="008B7229">
      <w:pPr>
        <w:rPr>
          <w:b/>
          <w:bCs/>
          <w:lang w:val="en-US" w:eastAsia="ja-JP"/>
        </w:rPr>
      </w:pPr>
      <w:r w:rsidRPr="00A412F7">
        <w:rPr>
          <w:b/>
          <w:bCs/>
          <w:lang w:val="en-US" w:eastAsia="ja-JP"/>
        </w:rPr>
        <w:t>Proposal 4: RAN4 to clarify the intended uplink configuration in this study.</w:t>
      </w:r>
    </w:p>
    <w:p w14:paraId="7F3F1B19" w14:textId="77777777" w:rsidR="00871C39" w:rsidRPr="0091165D" w:rsidRDefault="00871C39" w:rsidP="00871C39">
      <w:pPr>
        <w:rPr>
          <w:b/>
          <w:bCs/>
          <w:lang w:val="en-US" w:eastAsia="ja-JP"/>
        </w:rPr>
      </w:pPr>
      <w:r w:rsidRPr="0091165D">
        <w:rPr>
          <w:b/>
          <w:bCs/>
          <w:lang w:val="en-US" w:eastAsia="ja-JP"/>
        </w:rPr>
        <w:t xml:space="preserve">Proposal </w:t>
      </w:r>
      <w:r>
        <w:rPr>
          <w:b/>
          <w:bCs/>
          <w:lang w:val="en-US" w:eastAsia="ja-JP"/>
        </w:rPr>
        <w:t>5</w:t>
      </w:r>
      <w:r w:rsidRPr="0091165D">
        <w:rPr>
          <w:b/>
          <w:bCs/>
          <w:lang w:val="en-US" w:eastAsia="ja-JP"/>
        </w:rPr>
        <w:t>: The answers to the following questions from proponents are needed:</w:t>
      </w:r>
    </w:p>
    <w:p w14:paraId="32FF97F4" w14:textId="77777777" w:rsidR="00871C39" w:rsidRPr="0091165D" w:rsidRDefault="00871C39" w:rsidP="00871C39">
      <w:pPr>
        <w:pStyle w:val="ListParagraph"/>
        <w:numPr>
          <w:ilvl w:val="0"/>
          <w:numId w:val="31"/>
        </w:numPr>
        <w:ind w:firstLineChars="0"/>
        <w:rPr>
          <w:lang w:val="en-US" w:eastAsia="ja-JP"/>
        </w:rPr>
      </w:pPr>
      <w:r w:rsidRPr="0091165D">
        <w:rPr>
          <w:b/>
          <w:bCs/>
          <w:noProof/>
          <w:lang w:val="en-US" w:eastAsia="ja-JP"/>
        </w:rPr>
        <w:t>Question 1: According to the original intention, some clarification is required on the DL frequency span, i.e., DL frequency span</w:t>
      </w:r>
      <w:r w:rsidRPr="0091165D">
        <w:rPr>
          <w:rFonts w:hint="eastAsia"/>
          <w:b/>
          <w:bCs/>
          <w:noProof/>
          <w:lang w:val="en-US" w:eastAsia="ja-JP"/>
        </w:rPr>
        <w:t>≤</w:t>
      </w:r>
      <w:r w:rsidRPr="0091165D">
        <w:rPr>
          <w:b/>
          <w:bCs/>
          <w:noProof/>
          <w:lang w:val="en-US" w:eastAsia="ja-JP"/>
        </w:rPr>
        <w:t xml:space="preserve">100MHz is only for SCS 30kHz, and </w:t>
      </w:r>
      <w:r w:rsidRPr="0091165D">
        <w:rPr>
          <w:rFonts w:hint="eastAsia"/>
          <w:b/>
          <w:bCs/>
          <w:noProof/>
          <w:lang w:val="en-US" w:eastAsia="ja-JP"/>
        </w:rPr>
        <w:t>≤</w:t>
      </w:r>
      <w:r w:rsidRPr="0091165D">
        <w:rPr>
          <w:rFonts w:hint="eastAsia"/>
          <w:b/>
          <w:bCs/>
          <w:noProof/>
          <w:lang w:val="en-US" w:eastAsia="ja-JP"/>
        </w:rPr>
        <w:t xml:space="preserve"> </w:t>
      </w:r>
      <w:r w:rsidRPr="0091165D">
        <w:rPr>
          <w:b/>
          <w:bCs/>
          <w:noProof/>
          <w:lang w:val="en-US" w:eastAsia="ja-JP"/>
        </w:rPr>
        <w:t xml:space="preserve"> 50MHz for SCS 15kHz?</w:t>
      </w:r>
    </w:p>
    <w:p w14:paraId="0C504A4D" w14:textId="543B518E" w:rsidR="00871C39" w:rsidRPr="001C5843" w:rsidRDefault="00871C39" w:rsidP="008B7229">
      <w:pPr>
        <w:pStyle w:val="ListParagraph"/>
        <w:numPr>
          <w:ilvl w:val="0"/>
          <w:numId w:val="31"/>
        </w:numPr>
        <w:ind w:firstLineChars="0"/>
        <w:rPr>
          <w:lang w:val="en-US" w:eastAsia="ja-JP"/>
        </w:rPr>
      </w:pPr>
      <w:r w:rsidRPr="0091165D">
        <w:rPr>
          <w:b/>
          <w:bCs/>
          <w:noProof/>
          <w:lang w:val="en-US" w:eastAsia="ja-JP"/>
        </w:rPr>
        <w:t>Question 2: Is there any regulation that could guarantee the subcarrier grid alignment among all operators in a single band with 100kHz channel raster?</w:t>
      </w:r>
    </w:p>
    <w:p w14:paraId="11F2B815" w14:textId="2F899EA8" w:rsidR="00923222" w:rsidRDefault="00923222" w:rsidP="00CD424F">
      <w:pPr>
        <w:pStyle w:val="Heading1"/>
        <w:numPr>
          <w:ilvl w:val="0"/>
          <w:numId w:val="0"/>
        </w:numPr>
        <w:rPr>
          <w:lang w:eastAsia="ja-JP"/>
        </w:rPr>
      </w:pPr>
      <w:r>
        <w:rPr>
          <w:lang w:eastAsia="ja-JP"/>
        </w:rPr>
        <w:t>Reference</w:t>
      </w:r>
    </w:p>
    <w:p w14:paraId="230509F3" w14:textId="3378694D" w:rsidR="00CD424F" w:rsidRDefault="00CD424F" w:rsidP="00CD424F">
      <w:pPr>
        <w:rPr>
          <w:lang w:val="sv-SE" w:eastAsia="ja-JP"/>
        </w:rPr>
      </w:pPr>
      <w:r>
        <w:rPr>
          <w:lang w:val="sv-SE" w:eastAsia="ja-JP"/>
        </w:rPr>
        <w:t xml:space="preserve">[1] </w:t>
      </w:r>
      <w:r w:rsidR="007264D7">
        <w:rPr>
          <w:lang w:val="sv-SE" w:eastAsia="ja-JP"/>
        </w:rPr>
        <w:t>RP-241669, ”</w:t>
      </w:r>
      <w:r w:rsidR="007264D7" w:rsidRPr="007264D7">
        <w:t xml:space="preserve"> </w:t>
      </w:r>
      <w:r w:rsidR="007264D7" w:rsidRPr="007264D7">
        <w:rPr>
          <w:lang w:val="sv-SE" w:eastAsia="ja-JP"/>
        </w:rPr>
        <w:t>New SID: Study on NR FR1 DL Fragmented Carriers</w:t>
      </w:r>
      <w:r w:rsidR="007264D7">
        <w:rPr>
          <w:lang w:val="sv-SE" w:eastAsia="ja-JP"/>
        </w:rPr>
        <w:t>”, MediaTek</w:t>
      </w:r>
    </w:p>
    <w:p w14:paraId="3E6A82A8" w14:textId="4622B823" w:rsidR="00E84FAE" w:rsidRDefault="00E84FAE" w:rsidP="00CD424F">
      <w:pPr>
        <w:rPr>
          <w:lang w:val="sv-SE" w:eastAsia="ja-JP"/>
        </w:rPr>
      </w:pPr>
      <w:r>
        <w:rPr>
          <w:lang w:val="sv-SE" w:eastAsia="ja-JP"/>
        </w:rPr>
        <w:t>[2] RP-233374, ”</w:t>
      </w:r>
      <w:r w:rsidRPr="00E84FAE">
        <w:t xml:space="preserve"> </w:t>
      </w:r>
      <w:r w:rsidRPr="00E84FAE">
        <w:rPr>
          <w:lang w:val="sv-SE" w:eastAsia="ja-JP"/>
        </w:rPr>
        <w:t>Fragmented carriers in the DL</w:t>
      </w:r>
      <w:r>
        <w:rPr>
          <w:lang w:val="sv-SE" w:eastAsia="ja-JP"/>
        </w:rPr>
        <w:t>”, TELUS et, al.</w:t>
      </w:r>
    </w:p>
    <w:p w14:paraId="35D9A16A" w14:textId="77777777" w:rsidR="00CD424F" w:rsidRDefault="00CD424F" w:rsidP="00CD424F">
      <w:pPr>
        <w:rPr>
          <w:lang w:val="sv-SE" w:eastAsia="ja-JP"/>
        </w:rPr>
      </w:pPr>
    </w:p>
    <w:p w14:paraId="47C22473" w14:textId="77777777" w:rsidR="00CD424F" w:rsidRPr="00CD424F" w:rsidRDefault="00CD424F" w:rsidP="00CD424F">
      <w:pPr>
        <w:rPr>
          <w:lang w:val="sv-SE" w:eastAsia="ja-JP"/>
        </w:rPr>
      </w:pPr>
    </w:p>
    <w:sectPr w:rsidR="00CD424F" w:rsidRPr="00CD424F"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4C4177" w14:textId="77777777" w:rsidR="00D12D10" w:rsidRDefault="00D12D10">
      <w:r>
        <w:separator/>
      </w:r>
    </w:p>
  </w:endnote>
  <w:endnote w:type="continuationSeparator" w:id="0">
    <w:p w14:paraId="36664286" w14:textId="77777777" w:rsidR="00D12D10" w:rsidRDefault="00D12D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8CE39F" w14:textId="77777777" w:rsidR="00D12D10" w:rsidRDefault="00D12D10">
      <w:r>
        <w:separator/>
      </w:r>
    </w:p>
  </w:footnote>
  <w:footnote w:type="continuationSeparator" w:id="0">
    <w:p w14:paraId="522ACB44" w14:textId="77777777" w:rsidR="00D12D10" w:rsidRDefault="00D12D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5A40DF6"/>
    <w:multiLevelType w:val="hybridMultilevel"/>
    <w:tmpl w:val="7CE6E478"/>
    <w:lvl w:ilvl="0" w:tplc="04090005">
      <w:start w:val="1"/>
      <w:numFmt w:val="bullet"/>
      <w:lvlText w:val=""/>
      <w:lvlJc w:val="left"/>
      <w:pPr>
        <w:ind w:left="1614" w:hanging="480"/>
      </w:pPr>
      <w:rPr>
        <w:rFonts w:ascii="Wingdings" w:hAnsi="Wingdings" w:hint="default"/>
      </w:rPr>
    </w:lvl>
    <w:lvl w:ilvl="1" w:tplc="04090003" w:tentative="1">
      <w:start w:val="1"/>
      <w:numFmt w:val="bullet"/>
      <w:lvlText w:val=""/>
      <w:lvlJc w:val="left"/>
      <w:pPr>
        <w:ind w:left="2094" w:hanging="480"/>
      </w:pPr>
      <w:rPr>
        <w:rFonts w:ascii="Wingdings" w:hAnsi="Wingdings" w:hint="default"/>
      </w:rPr>
    </w:lvl>
    <w:lvl w:ilvl="2" w:tplc="04090005" w:tentative="1">
      <w:start w:val="1"/>
      <w:numFmt w:val="bullet"/>
      <w:lvlText w:val=""/>
      <w:lvlJc w:val="left"/>
      <w:pPr>
        <w:ind w:left="2574" w:hanging="480"/>
      </w:pPr>
      <w:rPr>
        <w:rFonts w:ascii="Wingdings" w:hAnsi="Wingdings" w:hint="default"/>
      </w:rPr>
    </w:lvl>
    <w:lvl w:ilvl="3" w:tplc="04090001" w:tentative="1">
      <w:start w:val="1"/>
      <w:numFmt w:val="bullet"/>
      <w:lvlText w:val=""/>
      <w:lvlJc w:val="left"/>
      <w:pPr>
        <w:ind w:left="3054" w:hanging="480"/>
      </w:pPr>
      <w:rPr>
        <w:rFonts w:ascii="Wingdings" w:hAnsi="Wingdings" w:hint="default"/>
      </w:rPr>
    </w:lvl>
    <w:lvl w:ilvl="4" w:tplc="04090003" w:tentative="1">
      <w:start w:val="1"/>
      <w:numFmt w:val="bullet"/>
      <w:lvlText w:val=""/>
      <w:lvlJc w:val="left"/>
      <w:pPr>
        <w:ind w:left="3534" w:hanging="480"/>
      </w:pPr>
      <w:rPr>
        <w:rFonts w:ascii="Wingdings" w:hAnsi="Wingdings" w:hint="default"/>
      </w:rPr>
    </w:lvl>
    <w:lvl w:ilvl="5" w:tplc="04090005" w:tentative="1">
      <w:start w:val="1"/>
      <w:numFmt w:val="bullet"/>
      <w:lvlText w:val=""/>
      <w:lvlJc w:val="left"/>
      <w:pPr>
        <w:ind w:left="4014" w:hanging="480"/>
      </w:pPr>
      <w:rPr>
        <w:rFonts w:ascii="Wingdings" w:hAnsi="Wingdings" w:hint="default"/>
      </w:rPr>
    </w:lvl>
    <w:lvl w:ilvl="6" w:tplc="04090001" w:tentative="1">
      <w:start w:val="1"/>
      <w:numFmt w:val="bullet"/>
      <w:lvlText w:val=""/>
      <w:lvlJc w:val="left"/>
      <w:pPr>
        <w:ind w:left="4494" w:hanging="480"/>
      </w:pPr>
      <w:rPr>
        <w:rFonts w:ascii="Wingdings" w:hAnsi="Wingdings" w:hint="default"/>
      </w:rPr>
    </w:lvl>
    <w:lvl w:ilvl="7" w:tplc="04090003" w:tentative="1">
      <w:start w:val="1"/>
      <w:numFmt w:val="bullet"/>
      <w:lvlText w:val=""/>
      <w:lvlJc w:val="left"/>
      <w:pPr>
        <w:ind w:left="4974" w:hanging="480"/>
      </w:pPr>
      <w:rPr>
        <w:rFonts w:ascii="Wingdings" w:hAnsi="Wingdings" w:hint="default"/>
      </w:rPr>
    </w:lvl>
    <w:lvl w:ilvl="8" w:tplc="04090005" w:tentative="1">
      <w:start w:val="1"/>
      <w:numFmt w:val="bullet"/>
      <w:lvlText w:val=""/>
      <w:lvlJc w:val="left"/>
      <w:pPr>
        <w:ind w:left="5454" w:hanging="480"/>
      </w:pPr>
      <w:rPr>
        <w:rFonts w:ascii="Wingdings" w:hAnsi="Wingdings" w:hint="default"/>
      </w:rPr>
    </w:lvl>
  </w:abstractNum>
  <w:abstractNum w:abstractNumId="8" w15:restartNumberingAfterBreak="0">
    <w:nsid w:val="368E3474"/>
    <w:multiLevelType w:val="hybridMultilevel"/>
    <w:tmpl w:val="0E7E4D76"/>
    <w:lvl w:ilvl="0" w:tplc="BCD0F34A">
      <w:numFmt w:val="bullet"/>
      <w:lvlText w:val="-"/>
      <w:lvlJc w:val="left"/>
      <w:pPr>
        <w:ind w:left="645" w:hanging="360"/>
      </w:pPr>
      <w:rPr>
        <w:rFonts w:ascii="Times New Roman" w:eastAsia="SimSun" w:hAnsi="Times New Roman" w:cs="Times New Roman" w:hint="default"/>
      </w:rPr>
    </w:lvl>
    <w:lvl w:ilvl="1" w:tplc="10000003" w:tentative="1">
      <w:start w:val="1"/>
      <w:numFmt w:val="bullet"/>
      <w:lvlText w:val="o"/>
      <w:lvlJc w:val="left"/>
      <w:pPr>
        <w:ind w:left="1365" w:hanging="360"/>
      </w:pPr>
      <w:rPr>
        <w:rFonts w:ascii="Courier New" w:hAnsi="Courier New" w:cs="Courier New" w:hint="default"/>
      </w:rPr>
    </w:lvl>
    <w:lvl w:ilvl="2" w:tplc="10000005" w:tentative="1">
      <w:start w:val="1"/>
      <w:numFmt w:val="bullet"/>
      <w:lvlText w:val=""/>
      <w:lvlJc w:val="left"/>
      <w:pPr>
        <w:ind w:left="2085" w:hanging="360"/>
      </w:pPr>
      <w:rPr>
        <w:rFonts w:ascii="Wingdings" w:hAnsi="Wingdings" w:hint="default"/>
      </w:rPr>
    </w:lvl>
    <w:lvl w:ilvl="3" w:tplc="10000001" w:tentative="1">
      <w:start w:val="1"/>
      <w:numFmt w:val="bullet"/>
      <w:lvlText w:val=""/>
      <w:lvlJc w:val="left"/>
      <w:pPr>
        <w:ind w:left="2805" w:hanging="360"/>
      </w:pPr>
      <w:rPr>
        <w:rFonts w:ascii="Symbol" w:hAnsi="Symbol" w:hint="default"/>
      </w:rPr>
    </w:lvl>
    <w:lvl w:ilvl="4" w:tplc="10000003" w:tentative="1">
      <w:start w:val="1"/>
      <w:numFmt w:val="bullet"/>
      <w:lvlText w:val="o"/>
      <w:lvlJc w:val="left"/>
      <w:pPr>
        <w:ind w:left="3525" w:hanging="360"/>
      </w:pPr>
      <w:rPr>
        <w:rFonts w:ascii="Courier New" w:hAnsi="Courier New" w:cs="Courier New" w:hint="default"/>
      </w:rPr>
    </w:lvl>
    <w:lvl w:ilvl="5" w:tplc="10000005" w:tentative="1">
      <w:start w:val="1"/>
      <w:numFmt w:val="bullet"/>
      <w:lvlText w:val=""/>
      <w:lvlJc w:val="left"/>
      <w:pPr>
        <w:ind w:left="4245" w:hanging="360"/>
      </w:pPr>
      <w:rPr>
        <w:rFonts w:ascii="Wingdings" w:hAnsi="Wingdings" w:hint="default"/>
      </w:rPr>
    </w:lvl>
    <w:lvl w:ilvl="6" w:tplc="10000001" w:tentative="1">
      <w:start w:val="1"/>
      <w:numFmt w:val="bullet"/>
      <w:lvlText w:val=""/>
      <w:lvlJc w:val="left"/>
      <w:pPr>
        <w:ind w:left="4965" w:hanging="360"/>
      </w:pPr>
      <w:rPr>
        <w:rFonts w:ascii="Symbol" w:hAnsi="Symbol" w:hint="default"/>
      </w:rPr>
    </w:lvl>
    <w:lvl w:ilvl="7" w:tplc="10000003" w:tentative="1">
      <w:start w:val="1"/>
      <w:numFmt w:val="bullet"/>
      <w:lvlText w:val="o"/>
      <w:lvlJc w:val="left"/>
      <w:pPr>
        <w:ind w:left="5685" w:hanging="360"/>
      </w:pPr>
      <w:rPr>
        <w:rFonts w:ascii="Courier New" w:hAnsi="Courier New" w:cs="Courier New" w:hint="default"/>
      </w:rPr>
    </w:lvl>
    <w:lvl w:ilvl="8" w:tplc="10000005" w:tentative="1">
      <w:start w:val="1"/>
      <w:numFmt w:val="bullet"/>
      <w:lvlText w:val=""/>
      <w:lvlJc w:val="left"/>
      <w:pPr>
        <w:ind w:left="6405" w:hanging="360"/>
      </w:pPr>
      <w:rPr>
        <w:rFonts w:ascii="Wingdings" w:hAnsi="Wingdings" w:hint="default"/>
      </w:rPr>
    </w:lvl>
  </w:abstractNum>
  <w:abstractNum w:abstractNumId="9" w15:restartNumberingAfterBreak="0">
    <w:nsid w:val="3AD37A3D"/>
    <w:multiLevelType w:val="multilevel"/>
    <w:tmpl w:val="AB5683FC"/>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587D0D1B"/>
    <w:multiLevelType w:val="multilevel"/>
    <w:tmpl w:val="F9665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647D52D4"/>
    <w:multiLevelType w:val="multilevel"/>
    <w:tmpl w:val="A06822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1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15" w15:restartNumberingAfterBreak="0">
    <w:nsid w:val="7F6A6972"/>
    <w:multiLevelType w:val="hybridMultilevel"/>
    <w:tmpl w:val="2452D9BC"/>
    <w:lvl w:ilvl="0" w:tplc="10000001">
      <w:start w:val="1"/>
      <w:numFmt w:val="bullet"/>
      <w:lvlText w:val=""/>
      <w:lvlJc w:val="left"/>
      <w:pPr>
        <w:ind w:left="644" w:hanging="360"/>
      </w:pPr>
      <w:rPr>
        <w:rFonts w:ascii="Symbol" w:hAnsi="Symbol"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num w:numId="1" w16cid:durableId="2043897565">
    <w:abstractNumId w:val="0"/>
  </w:num>
  <w:num w:numId="2" w16cid:durableId="1167404301">
    <w:abstractNumId w:val="5"/>
  </w:num>
  <w:num w:numId="3" w16cid:durableId="845053056">
    <w:abstractNumId w:val="14"/>
  </w:num>
  <w:num w:numId="4" w16cid:durableId="574896988">
    <w:abstractNumId w:val="11"/>
  </w:num>
  <w:num w:numId="5" w16cid:durableId="1797749362">
    <w:abstractNumId w:val="9"/>
  </w:num>
  <w:num w:numId="6" w16cid:durableId="899943885">
    <w:abstractNumId w:val="9"/>
  </w:num>
  <w:num w:numId="7" w16cid:durableId="1512796906">
    <w:abstractNumId w:val="9"/>
  </w:num>
  <w:num w:numId="8" w16cid:durableId="203450138">
    <w:abstractNumId w:val="9"/>
  </w:num>
  <w:num w:numId="9" w16cid:durableId="158355102">
    <w:abstractNumId w:val="9"/>
  </w:num>
  <w:num w:numId="10" w16cid:durableId="1628313981">
    <w:abstractNumId w:val="9"/>
  </w:num>
  <w:num w:numId="11" w16cid:durableId="121701034">
    <w:abstractNumId w:val="9"/>
  </w:num>
  <w:num w:numId="12" w16cid:durableId="1903825637">
    <w:abstractNumId w:val="9"/>
  </w:num>
  <w:num w:numId="13" w16cid:durableId="27722345">
    <w:abstractNumId w:val="9"/>
  </w:num>
  <w:num w:numId="14" w16cid:durableId="1978800360">
    <w:abstractNumId w:val="9"/>
  </w:num>
  <w:num w:numId="15" w16cid:durableId="728382646">
    <w:abstractNumId w:val="9"/>
  </w:num>
  <w:num w:numId="16" w16cid:durableId="2009285576">
    <w:abstractNumId w:val="9"/>
  </w:num>
  <w:num w:numId="17" w16cid:durableId="520776209">
    <w:abstractNumId w:val="4"/>
  </w:num>
  <w:num w:numId="18" w16cid:durableId="1890874967">
    <w:abstractNumId w:val="3"/>
  </w:num>
  <w:num w:numId="19" w16cid:durableId="151794773">
    <w:abstractNumId w:val="2"/>
  </w:num>
  <w:num w:numId="20" w16cid:durableId="1473786642">
    <w:abstractNumId w:val="1"/>
  </w:num>
  <w:num w:numId="21" w16cid:durableId="895970569">
    <w:abstractNumId w:val="9"/>
  </w:num>
  <w:num w:numId="22" w16cid:durableId="1637685187">
    <w:abstractNumId w:val="9"/>
  </w:num>
  <w:num w:numId="23" w16cid:durableId="1282683033">
    <w:abstractNumId w:val="6"/>
  </w:num>
  <w:num w:numId="24" w16cid:durableId="122814890">
    <w:abstractNumId w:val="9"/>
  </w:num>
  <w:num w:numId="25" w16cid:durableId="1970238205">
    <w:abstractNumId w:val="9"/>
  </w:num>
  <w:num w:numId="26" w16cid:durableId="1264847130">
    <w:abstractNumId w:val="13"/>
  </w:num>
  <w:num w:numId="27" w16cid:durableId="2016959231">
    <w:abstractNumId w:val="7"/>
  </w:num>
  <w:num w:numId="28" w16cid:durableId="1293172279">
    <w:abstractNumId w:val="15"/>
  </w:num>
  <w:num w:numId="29" w16cid:durableId="398556137">
    <w:abstractNumId w:val="10"/>
  </w:num>
  <w:num w:numId="30" w16cid:durableId="764887545">
    <w:abstractNumId w:val="12"/>
  </w:num>
  <w:num w:numId="31" w16cid:durableId="1630277377">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2787"/>
    <w:rsid w:val="00020C56"/>
    <w:rsid w:val="00026ACC"/>
    <w:rsid w:val="0003171D"/>
    <w:rsid w:val="00031C1D"/>
    <w:rsid w:val="00035C50"/>
    <w:rsid w:val="000368AA"/>
    <w:rsid w:val="00036E72"/>
    <w:rsid w:val="000457A1"/>
    <w:rsid w:val="00050001"/>
    <w:rsid w:val="00052041"/>
    <w:rsid w:val="0005326A"/>
    <w:rsid w:val="000617C2"/>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7927"/>
    <w:rsid w:val="00110E26"/>
    <w:rsid w:val="00111303"/>
    <w:rsid w:val="00111321"/>
    <w:rsid w:val="001128E7"/>
    <w:rsid w:val="00117BD6"/>
    <w:rsid w:val="001206C2"/>
    <w:rsid w:val="00121978"/>
    <w:rsid w:val="00123422"/>
    <w:rsid w:val="00124B6A"/>
    <w:rsid w:val="001301AE"/>
    <w:rsid w:val="00130462"/>
    <w:rsid w:val="00136D4C"/>
    <w:rsid w:val="00142538"/>
    <w:rsid w:val="00142BB9"/>
    <w:rsid w:val="00144F96"/>
    <w:rsid w:val="00151EAC"/>
    <w:rsid w:val="00153528"/>
    <w:rsid w:val="00154E68"/>
    <w:rsid w:val="00162548"/>
    <w:rsid w:val="00172183"/>
    <w:rsid w:val="00173CB1"/>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5843"/>
    <w:rsid w:val="001C6177"/>
    <w:rsid w:val="001D0363"/>
    <w:rsid w:val="001D12B4"/>
    <w:rsid w:val="001D1B07"/>
    <w:rsid w:val="001D7D94"/>
    <w:rsid w:val="001E0A28"/>
    <w:rsid w:val="001E4218"/>
    <w:rsid w:val="001E6C4D"/>
    <w:rsid w:val="001F0B20"/>
    <w:rsid w:val="00200A62"/>
    <w:rsid w:val="00203740"/>
    <w:rsid w:val="0020489A"/>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3A33"/>
    <w:rsid w:val="00274E1A"/>
    <w:rsid w:val="00274E25"/>
    <w:rsid w:val="002775B1"/>
    <w:rsid w:val="002775B9"/>
    <w:rsid w:val="002811C4"/>
    <w:rsid w:val="00282213"/>
    <w:rsid w:val="00282BCE"/>
    <w:rsid w:val="00284016"/>
    <w:rsid w:val="002858BF"/>
    <w:rsid w:val="0028713C"/>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052D"/>
    <w:rsid w:val="0033361A"/>
    <w:rsid w:val="00336697"/>
    <w:rsid w:val="003418CB"/>
    <w:rsid w:val="00355873"/>
    <w:rsid w:val="0035660F"/>
    <w:rsid w:val="003628B9"/>
    <w:rsid w:val="00362D8F"/>
    <w:rsid w:val="00367724"/>
    <w:rsid w:val="003710BA"/>
    <w:rsid w:val="003770F6"/>
    <w:rsid w:val="00383E37"/>
    <w:rsid w:val="00393042"/>
    <w:rsid w:val="00394AD5"/>
    <w:rsid w:val="0039642D"/>
    <w:rsid w:val="003A2B9E"/>
    <w:rsid w:val="003A2E40"/>
    <w:rsid w:val="003B0158"/>
    <w:rsid w:val="003B1068"/>
    <w:rsid w:val="003B40B6"/>
    <w:rsid w:val="003B56DB"/>
    <w:rsid w:val="003B755E"/>
    <w:rsid w:val="003C228E"/>
    <w:rsid w:val="003C51E7"/>
    <w:rsid w:val="003C6893"/>
    <w:rsid w:val="003C6DE2"/>
    <w:rsid w:val="003D014A"/>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17E9"/>
    <w:rsid w:val="004A372B"/>
    <w:rsid w:val="004A495F"/>
    <w:rsid w:val="004A7544"/>
    <w:rsid w:val="004B6B0F"/>
    <w:rsid w:val="004C54E5"/>
    <w:rsid w:val="004C7DC8"/>
    <w:rsid w:val="004D21B0"/>
    <w:rsid w:val="004D66BB"/>
    <w:rsid w:val="004D737D"/>
    <w:rsid w:val="004E2659"/>
    <w:rsid w:val="004E39EE"/>
    <w:rsid w:val="004E475C"/>
    <w:rsid w:val="004E56E0"/>
    <w:rsid w:val="004E7329"/>
    <w:rsid w:val="004F0A1A"/>
    <w:rsid w:val="004F2CB0"/>
    <w:rsid w:val="005017F7"/>
    <w:rsid w:val="00501FA7"/>
    <w:rsid w:val="005034DC"/>
    <w:rsid w:val="00505BFA"/>
    <w:rsid w:val="005071B4"/>
    <w:rsid w:val="00507687"/>
    <w:rsid w:val="005117A9"/>
    <w:rsid w:val="00511F57"/>
    <w:rsid w:val="00515CBE"/>
    <w:rsid w:val="00515E2B"/>
    <w:rsid w:val="00522A7E"/>
    <w:rsid w:val="00522F20"/>
    <w:rsid w:val="00523FA6"/>
    <w:rsid w:val="005308DB"/>
    <w:rsid w:val="00530A2E"/>
    <w:rsid w:val="00530FBE"/>
    <w:rsid w:val="005325CA"/>
    <w:rsid w:val="00533159"/>
    <w:rsid w:val="005339DB"/>
    <w:rsid w:val="00534C89"/>
    <w:rsid w:val="00541573"/>
    <w:rsid w:val="0054348A"/>
    <w:rsid w:val="00571777"/>
    <w:rsid w:val="00580FF5"/>
    <w:rsid w:val="0058519C"/>
    <w:rsid w:val="0059149A"/>
    <w:rsid w:val="005956EE"/>
    <w:rsid w:val="005A083E"/>
    <w:rsid w:val="005B4802"/>
    <w:rsid w:val="005C1EA6"/>
    <w:rsid w:val="005D0B99"/>
    <w:rsid w:val="005D308E"/>
    <w:rsid w:val="005D3A48"/>
    <w:rsid w:val="005D7AF8"/>
    <w:rsid w:val="005E17BF"/>
    <w:rsid w:val="005E366A"/>
    <w:rsid w:val="005F2145"/>
    <w:rsid w:val="005F5158"/>
    <w:rsid w:val="006016E1"/>
    <w:rsid w:val="00602D27"/>
    <w:rsid w:val="006144A1"/>
    <w:rsid w:val="00615EBB"/>
    <w:rsid w:val="00616096"/>
    <w:rsid w:val="006160A2"/>
    <w:rsid w:val="00622C7A"/>
    <w:rsid w:val="006302AA"/>
    <w:rsid w:val="006363BD"/>
    <w:rsid w:val="006412DC"/>
    <w:rsid w:val="006418C7"/>
    <w:rsid w:val="00642BC6"/>
    <w:rsid w:val="00644790"/>
    <w:rsid w:val="006501AF"/>
    <w:rsid w:val="00650DDE"/>
    <w:rsid w:val="00653BCF"/>
    <w:rsid w:val="0065505B"/>
    <w:rsid w:val="006670AC"/>
    <w:rsid w:val="00672307"/>
    <w:rsid w:val="006808C6"/>
    <w:rsid w:val="00682668"/>
    <w:rsid w:val="00692A68"/>
    <w:rsid w:val="00695D85"/>
    <w:rsid w:val="006A30A2"/>
    <w:rsid w:val="006A6D23"/>
    <w:rsid w:val="006B25DE"/>
    <w:rsid w:val="006C1C3B"/>
    <w:rsid w:val="006C39B9"/>
    <w:rsid w:val="006C4E43"/>
    <w:rsid w:val="006C643E"/>
    <w:rsid w:val="006D2932"/>
    <w:rsid w:val="006D3671"/>
    <w:rsid w:val="006D4176"/>
    <w:rsid w:val="006E0A73"/>
    <w:rsid w:val="006E0FEE"/>
    <w:rsid w:val="006E6C11"/>
    <w:rsid w:val="006F7C0C"/>
    <w:rsid w:val="00700755"/>
    <w:rsid w:val="0070646B"/>
    <w:rsid w:val="007130A2"/>
    <w:rsid w:val="00715463"/>
    <w:rsid w:val="007264D7"/>
    <w:rsid w:val="00730655"/>
    <w:rsid w:val="00731D77"/>
    <w:rsid w:val="00732360"/>
    <w:rsid w:val="0073390A"/>
    <w:rsid w:val="00734E64"/>
    <w:rsid w:val="00736B37"/>
    <w:rsid w:val="00740A35"/>
    <w:rsid w:val="007520B4"/>
    <w:rsid w:val="007635C6"/>
    <w:rsid w:val="007655D5"/>
    <w:rsid w:val="007763C1"/>
    <w:rsid w:val="00777D8B"/>
    <w:rsid w:val="00777E82"/>
    <w:rsid w:val="00781359"/>
    <w:rsid w:val="00786921"/>
    <w:rsid w:val="007A1EAA"/>
    <w:rsid w:val="007A79FD"/>
    <w:rsid w:val="007B0B9D"/>
    <w:rsid w:val="007B26E3"/>
    <w:rsid w:val="007B5A43"/>
    <w:rsid w:val="007B709B"/>
    <w:rsid w:val="007C1343"/>
    <w:rsid w:val="007C3346"/>
    <w:rsid w:val="007C5EF1"/>
    <w:rsid w:val="007C7BF5"/>
    <w:rsid w:val="007D19B7"/>
    <w:rsid w:val="007D75E5"/>
    <w:rsid w:val="007D773E"/>
    <w:rsid w:val="007E066E"/>
    <w:rsid w:val="007E1356"/>
    <w:rsid w:val="007E20FC"/>
    <w:rsid w:val="007E7062"/>
    <w:rsid w:val="007F0E1E"/>
    <w:rsid w:val="007F29A7"/>
    <w:rsid w:val="008004B4"/>
    <w:rsid w:val="00805BE8"/>
    <w:rsid w:val="00814B4E"/>
    <w:rsid w:val="00816078"/>
    <w:rsid w:val="008177E3"/>
    <w:rsid w:val="00823AA9"/>
    <w:rsid w:val="008255B9"/>
    <w:rsid w:val="00825CD8"/>
    <w:rsid w:val="00827324"/>
    <w:rsid w:val="0083061E"/>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1C39"/>
    <w:rsid w:val="0087332D"/>
    <w:rsid w:val="00873E1F"/>
    <w:rsid w:val="00874C16"/>
    <w:rsid w:val="00886D1F"/>
    <w:rsid w:val="00891EE1"/>
    <w:rsid w:val="00893987"/>
    <w:rsid w:val="008963EF"/>
    <w:rsid w:val="0089688E"/>
    <w:rsid w:val="008A1FBE"/>
    <w:rsid w:val="008A51C9"/>
    <w:rsid w:val="008B1E2D"/>
    <w:rsid w:val="008B3194"/>
    <w:rsid w:val="008B5AE7"/>
    <w:rsid w:val="008B7229"/>
    <w:rsid w:val="008C60E9"/>
    <w:rsid w:val="008D1B7C"/>
    <w:rsid w:val="008D6657"/>
    <w:rsid w:val="008E1F60"/>
    <w:rsid w:val="008E307E"/>
    <w:rsid w:val="008F4DD1"/>
    <w:rsid w:val="008F6056"/>
    <w:rsid w:val="00902C07"/>
    <w:rsid w:val="00905804"/>
    <w:rsid w:val="009101E2"/>
    <w:rsid w:val="0091165D"/>
    <w:rsid w:val="00915D73"/>
    <w:rsid w:val="00916077"/>
    <w:rsid w:val="009170A2"/>
    <w:rsid w:val="009208A6"/>
    <w:rsid w:val="00923222"/>
    <w:rsid w:val="00924514"/>
    <w:rsid w:val="00927316"/>
    <w:rsid w:val="0093133D"/>
    <w:rsid w:val="0093276D"/>
    <w:rsid w:val="00933D12"/>
    <w:rsid w:val="00937065"/>
    <w:rsid w:val="00940285"/>
    <w:rsid w:val="009415B0"/>
    <w:rsid w:val="00947E7E"/>
    <w:rsid w:val="0095139A"/>
    <w:rsid w:val="00953E16"/>
    <w:rsid w:val="009542AC"/>
    <w:rsid w:val="0095580F"/>
    <w:rsid w:val="00961BB2"/>
    <w:rsid w:val="00962108"/>
    <w:rsid w:val="009638D6"/>
    <w:rsid w:val="0097408E"/>
    <w:rsid w:val="00974BB2"/>
    <w:rsid w:val="00974FA7"/>
    <w:rsid w:val="009756E5"/>
    <w:rsid w:val="00977A8C"/>
    <w:rsid w:val="00983910"/>
    <w:rsid w:val="00986DD0"/>
    <w:rsid w:val="009932AC"/>
    <w:rsid w:val="00994351"/>
    <w:rsid w:val="00996A8F"/>
    <w:rsid w:val="009A1DBF"/>
    <w:rsid w:val="009A68E6"/>
    <w:rsid w:val="009A7598"/>
    <w:rsid w:val="009B1443"/>
    <w:rsid w:val="009B1DF8"/>
    <w:rsid w:val="009B3D20"/>
    <w:rsid w:val="009B5418"/>
    <w:rsid w:val="009B61B4"/>
    <w:rsid w:val="009C0727"/>
    <w:rsid w:val="009C3C80"/>
    <w:rsid w:val="009C492F"/>
    <w:rsid w:val="009D2FF2"/>
    <w:rsid w:val="009D3226"/>
    <w:rsid w:val="009D3385"/>
    <w:rsid w:val="009D793C"/>
    <w:rsid w:val="009E16A9"/>
    <w:rsid w:val="009E375F"/>
    <w:rsid w:val="009E39D4"/>
    <w:rsid w:val="009E433B"/>
    <w:rsid w:val="009E5401"/>
    <w:rsid w:val="00A0758F"/>
    <w:rsid w:val="00A1570A"/>
    <w:rsid w:val="00A17866"/>
    <w:rsid w:val="00A211B4"/>
    <w:rsid w:val="00A223CF"/>
    <w:rsid w:val="00A33DDF"/>
    <w:rsid w:val="00A34547"/>
    <w:rsid w:val="00A376B7"/>
    <w:rsid w:val="00A412F7"/>
    <w:rsid w:val="00A41BF5"/>
    <w:rsid w:val="00A44778"/>
    <w:rsid w:val="00A469E7"/>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049B"/>
    <w:rsid w:val="00AF4D8B"/>
    <w:rsid w:val="00B067CA"/>
    <w:rsid w:val="00B12B26"/>
    <w:rsid w:val="00B163F8"/>
    <w:rsid w:val="00B2472D"/>
    <w:rsid w:val="00B24CA0"/>
    <w:rsid w:val="00B2549F"/>
    <w:rsid w:val="00B4108D"/>
    <w:rsid w:val="00B50FDD"/>
    <w:rsid w:val="00B57265"/>
    <w:rsid w:val="00B633AE"/>
    <w:rsid w:val="00B665D2"/>
    <w:rsid w:val="00B6737C"/>
    <w:rsid w:val="00B7214D"/>
    <w:rsid w:val="00B74372"/>
    <w:rsid w:val="00B75525"/>
    <w:rsid w:val="00B80283"/>
    <w:rsid w:val="00B8095F"/>
    <w:rsid w:val="00B80B0C"/>
    <w:rsid w:val="00B80B11"/>
    <w:rsid w:val="00B81C05"/>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2D12"/>
    <w:rsid w:val="00BD6404"/>
    <w:rsid w:val="00BE33AE"/>
    <w:rsid w:val="00BF046F"/>
    <w:rsid w:val="00C01D50"/>
    <w:rsid w:val="00C056DC"/>
    <w:rsid w:val="00C1329B"/>
    <w:rsid w:val="00C1572F"/>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3557"/>
    <w:rsid w:val="00C649BD"/>
    <w:rsid w:val="00C65891"/>
    <w:rsid w:val="00C66AC9"/>
    <w:rsid w:val="00C724D3"/>
    <w:rsid w:val="00C72951"/>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3582"/>
    <w:rsid w:val="00CC5F88"/>
    <w:rsid w:val="00CC69C8"/>
    <w:rsid w:val="00CC77A2"/>
    <w:rsid w:val="00CD307E"/>
    <w:rsid w:val="00CD424F"/>
    <w:rsid w:val="00CD629F"/>
    <w:rsid w:val="00CD6A1B"/>
    <w:rsid w:val="00CE0A7F"/>
    <w:rsid w:val="00CE1718"/>
    <w:rsid w:val="00CF0411"/>
    <w:rsid w:val="00CF4156"/>
    <w:rsid w:val="00D0036C"/>
    <w:rsid w:val="00D03D00"/>
    <w:rsid w:val="00D05C30"/>
    <w:rsid w:val="00D10052"/>
    <w:rsid w:val="00D11359"/>
    <w:rsid w:val="00D12D10"/>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C2500"/>
    <w:rsid w:val="00DC4F72"/>
    <w:rsid w:val="00DC77DC"/>
    <w:rsid w:val="00DD0453"/>
    <w:rsid w:val="00DD0C2C"/>
    <w:rsid w:val="00DD0E71"/>
    <w:rsid w:val="00DD19DE"/>
    <w:rsid w:val="00DD28BC"/>
    <w:rsid w:val="00DE31F0"/>
    <w:rsid w:val="00DE3D1C"/>
    <w:rsid w:val="00E01C41"/>
    <w:rsid w:val="00E0227D"/>
    <w:rsid w:val="00E04B84"/>
    <w:rsid w:val="00E06466"/>
    <w:rsid w:val="00E06835"/>
    <w:rsid w:val="00E06FDA"/>
    <w:rsid w:val="00E160A5"/>
    <w:rsid w:val="00E1713D"/>
    <w:rsid w:val="00E20A43"/>
    <w:rsid w:val="00E23898"/>
    <w:rsid w:val="00E30D53"/>
    <w:rsid w:val="00E319F1"/>
    <w:rsid w:val="00E33CD2"/>
    <w:rsid w:val="00E40E90"/>
    <w:rsid w:val="00E45C7E"/>
    <w:rsid w:val="00E5288B"/>
    <w:rsid w:val="00E531EB"/>
    <w:rsid w:val="00E54874"/>
    <w:rsid w:val="00E54B6F"/>
    <w:rsid w:val="00E55ACA"/>
    <w:rsid w:val="00E57B74"/>
    <w:rsid w:val="00E65BC6"/>
    <w:rsid w:val="00E661FF"/>
    <w:rsid w:val="00E726EB"/>
    <w:rsid w:val="00E72CF1"/>
    <w:rsid w:val="00E80B52"/>
    <w:rsid w:val="00E824C3"/>
    <w:rsid w:val="00E840B3"/>
    <w:rsid w:val="00E84D10"/>
    <w:rsid w:val="00E84FAE"/>
    <w:rsid w:val="00E8629F"/>
    <w:rsid w:val="00E91008"/>
    <w:rsid w:val="00E9374E"/>
    <w:rsid w:val="00E94F54"/>
    <w:rsid w:val="00E97AD5"/>
    <w:rsid w:val="00EA1111"/>
    <w:rsid w:val="00EA3B4F"/>
    <w:rsid w:val="00EA3C24"/>
    <w:rsid w:val="00EA73DF"/>
    <w:rsid w:val="00EB61AE"/>
    <w:rsid w:val="00EC322D"/>
    <w:rsid w:val="00EC61F7"/>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34A0"/>
    <w:rsid w:val="00FD3EE5"/>
    <w:rsid w:val="00FD7AA7"/>
    <w:rsid w:val="00FF1FCB"/>
    <w:rsid w:val="00FF52D4"/>
    <w:rsid w:val="00FF5AB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535582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206187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757</TotalTime>
  <Pages>3</Pages>
  <Words>1018</Words>
  <Characters>5806</Characters>
  <Application>Microsoft Office Word</Application>
  <DocSecurity>0</DocSecurity>
  <Lines>48</Lines>
  <Paragraphs>13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6811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AC</cp:lastModifiedBy>
  <cp:revision>19</cp:revision>
  <cp:lastPrinted>2019-04-25T01:09:00Z</cp:lastPrinted>
  <dcterms:created xsi:type="dcterms:W3CDTF">2024-08-08T21:39:00Z</dcterms:created>
  <dcterms:modified xsi:type="dcterms:W3CDTF">2024-08-09T12:40:00Z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